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26575" w14:textId="2000F710" w:rsidR="004B5157" w:rsidRPr="004B5157" w:rsidRDefault="004B5157" w:rsidP="004B5157">
      <w:pPr>
        <w:widowControl/>
        <w:adjustRightInd w:val="0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  <w:bookmarkStart w:id="0" w:name="_GoBack"/>
      <w:bookmarkEnd w:id="0"/>
      <w:r w:rsidRPr="004B5157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Allegato A</w:t>
      </w:r>
    </w:p>
    <w:p w14:paraId="6DEAE3B0" w14:textId="6012D1AA" w:rsidR="004B5157" w:rsidRPr="004B5157" w:rsidRDefault="004B5157" w:rsidP="004B5157">
      <w:pPr>
        <w:widowControl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 w:bidi="ar-SA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B5157" w:rsidRPr="004B5157" w14:paraId="2DFD46A5" w14:textId="77777777" w:rsidTr="00D00556">
        <w:tc>
          <w:tcPr>
            <w:tcW w:w="10173" w:type="dxa"/>
          </w:tcPr>
          <w:p w14:paraId="672DBAE4" w14:textId="77777777" w:rsidR="004B5157" w:rsidRPr="004B5157" w:rsidRDefault="004B5157" w:rsidP="004B5157">
            <w:pPr>
              <w:widowControl/>
              <w:adjustRightInd w:val="0"/>
              <w:jc w:val="center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JOB&amp;Orienta</w:t>
            </w:r>
          </w:p>
          <w:p w14:paraId="6067A2A7" w14:textId="6EA40A43" w:rsidR="004B5157" w:rsidRPr="004B5157" w:rsidRDefault="00481D49" w:rsidP="004B5157">
            <w:pPr>
              <w:widowControl/>
              <w:adjustRightInd w:val="0"/>
              <w:jc w:val="center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24-25-26 novembre </w:t>
            </w:r>
            <w:r w:rsidR="004B5157"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2022</w:t>
            </w:r>
          </w:p>
          <w:p w14:paraId="02D7DB1B" w14:textId="77777777" w:rsidR="004B5157" w:rsidRPr="004B5157" w:rsidRDefault="004B5157" w:rsidP="004B5157">
            <w:pPr>
              <w:widowControl/>
              <w:adjustRightInd w:val="0"/>
              <w:jc w:val="center"/>
              <w:rPr>
                <w:rFonts w:eastAsiaTheme="minorHAnsi"/>
                <w:noProof/>
                <w:sz w:val="24"/>
                <w:szCs w:val="24"/>
                <w:lang w:eastAsia="en-US" w:bidi="ar-SA"/>
              </w:rPr>
            </w:pPr>
          </w:p>
        </w:tc>
      </w:tr>
      <w:tr w:rsidR="004B5157" w:rsidRPr="004B5157" w14:paraId="769BC417" w14:textId="77777777" w:rsidTr="00D00556">
        <w:tc>
          <w:tcPr>
            <w:tcW w:w="10173" w:type="dxa"/>
          </w:tcPr>
          <w:p w14:paraId="688BE562" w14:textId="77777777" w:rsidR="004B5157" w:rsidRPr="004B5157" w:rsidRDefault="004B5157" w:rsidP="004B5157">
            <w:pPr>
              <w:widowControl/>
              <w:adjustRightInd w:val="0"/>
              <w:jc w:val="both"/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</w:pPr>
          </w:p>
          <w:p w14:paraId="59EBCF58" w14:textId="77777777" w:rsidR="004B5157" w:rsidRPr="004B5157" w:rsidRDefault="004B5157" w:rsidP="004B5157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DESCRIZIONE TECNICA DELLE AREE</w:t>
            </w:r>
          </w:p>
          <w:p w14:paraId="467E4EA4" w14:textId="77777777" w:rsidR="004B5157" w:rsidRPr="004B5157" w:rsidRDefault="004B5157" w:rsidP="004B5157">
            <w:pPr>
              <w:widowControl/>
              <w:adjustRightInd w:val="0"/>
              <w:jc w:val="both"/>
              <w:rPr>
                <w:rFonts w:eastAsiaTheme="minorHAnsi"/>
                <w:noProof/>
                <w:sz w:val="24"/>
                <w:szCs w:val="24"/>
                <w:lang w:eastAsia="en-US" w:bidi="ar-SA"/>
              </w:rPr>
            </w:pPr>
          </w:p>
        </w:tc>
      </w:tr>
      <w:tr w:rsidR="004B5157" w:rsidRPr="004B5157" w14:paraId="4D34B0C0" w14:textId="77777777" w:rsidTr="00D00556">
        <w:tc>
          <w:tcPr>
            <w:tcW w:w="10173" w:type="dxa"/>
          </w:tcPr>
          <w:p w14:paraId="50BE9061" w14:textId="77777777" w:rsidR="004B5157" w:rsidRPr="004B5157" w:rsidRDefault="004B5157" w:rsidP="004B5157">
            <w:pPr>
              <w:widowControl/>
              <w:adjustRightInd w:val="0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Allestimento di un’area minima di 2000mq secondo le esigenze. Ideazione, progettazione, allestimento e disallestimento di un’area espositiva nella quale dovranno essere previsti: </w:t>
            </w:r>
          </w:p>
          <w:p w14:paraId="39B5B3FA" w14:textId="77777777" w:rsidR="004B5157" w:rsidRPr="004B5157" w:rsidRDefault="004B5157" w:rsidP="004B5157">
            <w:pPr>
              <w:widowControl/>
              <w:adjustRightInd w:val="0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</w:p>
          <w:p w14:paraId="0AC65664" w14:textId="6B37EF8A" w:rsidR="004B5157" w:rsidRPr="004B5157" w:rsidRDefault="004B5157" w:rsidP="004B5157">
            <w:pPr>
              <w:widowControl/>
              <w:numPr>
                <w:ilvl w:val="0"/>
                <w:numId w:val="21"/>
              </w:numPr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Area Istituzionale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 - Infopoint Ministero dell’Istruzione 1 corner informativo di almeno 10mq gestito dall'Urp e dell'Ufficio </w:t>
            </w:r>
            <w:r w:rsidR="0060180C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I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V della comunicazione per la distribuzione di materiali. L’area necessita di almeno </w:t>
            </w:r>
            <w:r w:rsidR="0060180C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1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 desk di 6 metri di lunghezza - magazzino di 16mq con scaffalatura – attaccapanni - salottino autorità - 2 TV minimo 55po</w:t>
            </w:r>
            <w:r w:rsidR="009D5354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l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lici con possibilità di connessione a chiavetta o PC - Arredi floreali/nobilitazione area espositiva. Pannelli stampati per almeno 9mq con grafica fornita;</w:t>
            </w:r>
          </w:p>
          <w:p w14:paraId="75ECE243" w14:textId="48A13366" w:rsidR="004B5157" w:rsidRPr="004B5157" w:rsidRDefault="004B5157" w:rsidP="004B5157">
            <w:pPr>
              <w:widowControl/>
              <w:numPr>
                <w:ilvl w:val="0"/>
                <w:numId w:val="21"/>
              </w:numPr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Area USR Veneto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 - Area di minimo 50mq avene una parete di almeno 4m lineari graficati. Quest’area deve essere messa in prossimità del corner informativo Urp con TV minimo 55pol</w:t>
            </w:r>
            <w:r w:rsidR="003C018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l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ici con possibilità di connessione a chiavetta o PC - Arredi floreali/nobilitazione area espositiva. Pannelli stampati per almeno 9mq con grafica fornita;</w:t>
            </w:r>
          </w:p>
          <w:p w14:paraId="1BB11D6D" w14:textId="76B1D2E8" w:rsidR="004B5157" w:rsidRPr="004B5157" w:rsidRDefault="004B5157" w:rsidP="004B5157">
            <w:pPr>
              <w:widowControl/>
              <w:numPr>
                <w:ilvl w:val="0"/>
                <w:numId w:val="20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Area Reti di Scuole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 dove accogliere, secondo le specifiche necessità dei partecipanti, i progetti di eccellenza delle scuole, in particolare l’area dovra essere dedicata 6 più importanti reti di scuole riconosciute a livello nazionale da codesto Ministero. Arredati con 2 Desk di larghezza minimo 1 metro con due ripiani – 1 Parete da minimo 2x2,</w:t>
            </w:r>
            <w:r w:rsidR="001135D1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5m occupabili con materiale grafico della rete - Un tavolo da esposizione con sedie - Un magazzino di almeno 2mq con chiave scaffalatura e attaccapanni – Arredi floreali/nobilitazione area espositiva. Strumentazione tecnica: n°1 televisore da 55pol</w:t>
            </w:r>
            <w:r w:rsidR="009D5354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l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ici a spazio espositivo - Connessione a internet. Pannello stampato di almeno 100x100cm con grafica fornita del nome dell’attività;</w:t>
            </w:r>
          </w:p>
          <w:p w14:paraId="74C2A673" w14:textId="46E99E08" w:rsidR="004B5157" w:rsidRPr="004B5157" w:rsidRDefault="004B5157" w:rsidP="004B5157">
            <w:pPr>
              <w:widowControl/>
              <w:numPr>
                <w:ilvl w:val="0"/>
                <w:numId w:val="20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Area ITS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 dove saranno ospitati 22 ITS provenienti da tutto il territorio nazionale che 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lastRenderedPageBreak/>
              <w:t>racconteranno le proprie esperienze e l’impatto innovativo di questo percorso di studio post-diploma. N° 20 corner misura minima 4x2m per gli ITS Arredati con parete di fondo + desk espositivo + piano d’appoggio posteriore a parete + sgabello. Pannello stampato di almeno 100x100cm con grafica ITS;</w:t>
            </w:r>
          </w:p>
          <w:p w14:paraId="6A789165" w14:textId="486C7710" w:rsidR="004B5157" w:rsidRPr="004B5157" w:rsidRDefault="004B5157" w:rsidP="004B5157">
            <w:pPr>
              <w:widowControl/>
              <w:numPr>
                <w:ilvl w:val="0"/>
                <w:numId w:val="20"/>
              </w:numPr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Area dedicata al Welfare dello studente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: CORNER PROGETTO GENERAZIONI CONNESSE Area di minimo 12mq avene una parete di almeno 4m lineari graficati. Quest’area deve essere messa in prossimità del corner informativo Urp con TV minimo 55po</w:t>
            </w:r>
            <w:r w:rsidR="009D5354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l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lici con possibilità di connessione a chiavetta o PC - Arredi floreali/nobilitazione area espositiva. Pannelli stampati per almeno 9mq con grafica fornita. SPAZIO PROGETTO SPORT Area di minimo </w:t>
            </w:r>
            <w:r w:rsidR="008A128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1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50mq avene una parete di almeno 4m lineari graficati. 1 TV 55pol</w:t>
            </w:r>
            <w:r w:rsidR="009D5354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l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ici con possibilità di connessione a chiavetta o PC – Magazzino di 10mq - Arredi floreali/nobilitazione area espositiva. Pannelli stampati per almeno 6mq con grafica fornita;</w:t>
            </w:r>
          </w:p>
          <w:p w14:paraId="50AA442E" w14:textId="77777777" w:rsidR="0060180C" w:rsidRDefault="0060180C" w:rsidP="004B5157">
            <w:pPr>
              <w:widowControl/>
              <w:numPr>
                <w:ilvl w:val="0"/>
                <w:numId w:val="20"/>
              </w:numPr>
              <w:autoSpaceDE/>
              <w:autoSpaceDN/>
              <w:spacing w:line="360" w:lineRule="auto"/>
              <w:contextualSpacing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A</w:t>
            </w:r>
            <w:r w:rsidR="004B5157" w:rsidRPr="004B5157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rea interistituzionale</w:t>
            </w:r>
            <w:r w:rsidR="004B5157"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 dove presentare i progetti realizzati nell’ambito di “Cittadinanza e Costituzione” svolti in collaborazione con il Senato della Repubblica e la Camera dei deputati. </w:t>
            </w:r>
          </w:p>
          <w:p w14:paraId="2E6EC734" w14:textId="09C47431" w:rsidR="004B5157" w:rsidRPr="004B5157" w:rsidRDefault="004B5157" w:rsidP="0060180C">
            <w:pPr>
              <w:widowControl/>
              <w:autoSpaceDE/>
              <w:autoSpaceDN/>
              <w:spacing w:line="360" w:lineRule="auto"/>
              <w:ind w:left="720"/>
              <w:contextualSpacing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1 stand di 32 metri quadri per Senato e Camera in collaborazione con la DGSI</w:t>
            </w:r>
            <w:r w:rsidR="0060180C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OS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 - Pannellatura graficata - 2 desk - 4 sgabelli - 4 tavolini con sedie – Sala Riunioni e ripostiglio di almeno 12mq – 2 TV minimo 55pol</w:t>
            </w:r>
            <w:r w:rsidR="00D669DF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l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ici con possibilità di connessione a chiavetta o PC - 1 impianto di diffusione audio - Arredi floreali/nobilitazione area espositiva;</w:t>
            </w:r>
          </w:p>
          <w:p w14:paraId="6ADCE4DD" w14:textId="77777777" w:rsidR="004B5157" w:rsidRPr="004B5157" w:rsidRDefault="004B5157" w:rsidP="004B5157">
            <w:pPr>
              <w:widowControl/>
              <w:numPr>
                <w:ilvl w:val="0"/>
                <w:numId w:val="20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Area Arena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 trattasi di uno spazio comune per organizzazione eventi informativi all’interno dello spazio espositivo dotata di video-wall e service. 1 Arena eventi da 60 posti a sedere con VideoWall 4x3m e service dedicato per consentire la proiezione di Video e Slide. L’area necessita anche di impianto di diffusione audio e almeno 4 microfoni. Necessità di una stanzino a supporto delle attrezzature tecniche. Almeno 2 sgabelli e una poltrona. Impianto luci su americana. Pannelli stampati per almeno 9mq con grafica fornita;</w:t>
            </w:r>
          </w:p>
          <w:p w14:paraId="3744DD5C" w14:textId="0578DD22" w:rsidR="004B5157" w:rsidRPr="0060180C" w:rsidRDefault="004B5157" w:rsidP="0060180C">
            <w:pPr>
              <w:widowControl/>
              <w:numPr>
                <w:ilvl w:val="0"/>
                <w:numId w:val="20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sz w:val="24"/>
                <w:szCs w:val="24"/>
                <w:lang w:eastAsia="en-US" w:bidi="ar-SA"/>
              </w:rPr>
            </w:pPr>
            <w:r w:rsidRPr="0083180F">
              <w:rPr>
                <w:rFonts w:eastAsiaTheme="minorHAnsi"/>
                <w:b/>
                <w:bCs/>
                <w:noProof/>
                <w:sz w:val="24"/>
                <w:szCs w:val="24"/>
                <w:lang w:eastAsia="en-US" w:bidi="ar-SA"/>
              </w:rPr>
              <w:t>LTO - Laboratori Territoriali per l'Occupabilità</w:t>
            </w:r>
            <w:r w:rsidRPr="008318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. Uno spazio allestito per ospitare </w:t>
            </w:r>
            <w:r w:rsidR="0083180F" w:rsidRPr="008318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>3</w:t>
            </w:r>
            <w:r w:rsidRPr="008318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 realtà </w:t>
            </w:r>
            <w:r w:rsidR="00D669D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>d</w:t>
            </w:r>
            <w:r w:rsidRPr="008318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i circa </w:t>
            </w:r>
            <w:r w:rsidR="00074B3B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>100</w:t>
            </w:r>
            <w:r w:rsidRPr="008318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mq. Arredati con </w:t>
            </w:r>
            <w:r w:rsidR="00074B3B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>3</w:t>
            </w:r>
            <w:r w:rsidRPr="008318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 Desk di larghezza minimo 1 metro con due ripiani – 1 Parete da minimo 2x2,5m occupabili con materiale grafico della rete </w:t>
            </w:r>
            <w:r w:rsidR="00074B3B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>–</w:t>
            </w:r>
            <w:r w:rsidRPr="008318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 </w:t>
            </w:r>
            <w:r w:rsidR="00074B3B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>3 tavoli</w:t>
            </w:r>
            <w:r w:rsidRPr="008318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 da esposizione con sedie - Un magazzino di almeno 2mq con chiave scaffalatura e attaccapanni – Arredi floreali/nobilitazione area espositiva. Strumentazione tecnica: n</w:t>
            </w:r>
            <w:r w:rsidR="0060180C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. </w:t>
            </w:r>
            <w:r w:rsidR="00074B3B" w:rsidRPr="0060180C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>3</w:t>
            </w:r>
            <w:r w:rsidRPr="0060180C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 televisore minimo 55po</w:t>
            </w:r>
            <w:r w:rsidR="00D669DF" w:rsidRPr="0060180C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>l</w:t>
            </w:r>
            <w:r w:rsidRPr="0060180C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lici con possibilità di connessione a chiavetta o PC per spazio espositivo - Connessione a internet </w:t>
            </w:r>
            <w:r w:rsidR="00074B3B" w:rsidRPr="0060180C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>–</w:t>
            </w:r>
            <w:r w:rsidRPr="0060180C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 Pannell</w:t>
            </w:r>
            <w:r w:rsidR="00074B3B" w:rsidRPr="0060180C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>i stampati o parete da appoggio, frontalino.</w:t>
            </w:r>
          </w:p>
          <w:p w14:paraId="09E1B443" w14:textId="696CE4E4" w:rsidR="008A1287" w:rsidRPr="008A1287" w:rsidRDefault="008A1287" w:rsidP="008A1287">
            <w:pPr>
              <w:widowControl/>
              <w:numPr>
                <w:ilvl w:val="0"/>
                <w:numId w:val="20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8A1287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 xml:space="preserve">AREA PNRR Uno spazio allestito per ospitare 5 realtà di circa 80mq - </w:t>
            </w:r>
            <w:r w:rsidRPr="008A128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 1 area di 10mq come punto informativo per la distribuzione di materiali di comunicazione e pubblicitari, presentazione di alcune buone prassi finanziate dai fondi strutturali europei per l’istruzione. 1 area di 10mq come Punto informativo sulle linee di investimento del Piano nazionale di ripresa e resilienza per l’istruzione, illustrate nella cornice di “FUTURA - La scuola per l’Italia di domani” – 3 aree da 12mq per ospitare 3 realtà scolastiche per la presentazione di buone pratiche. - Un magazzino di almeno 2mq con chiave scaffalatura e attaccapanni – Arredi floreali/nobilitazione area espositiva. Strumentazione tecnica: n</w:t>
            </w:r>
            <w:r w:rsidR="00912A6F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. </w:t>
            </w:r>
            <w:r w:rsidRPr="008A128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5 televisori minimo 55po</w:t>
            </w:r>
            <w:r w:rsidR="009514E8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l</w:t>
            </w:r>
            <w:r w:rsidRPr="008A128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lici con possibilità di connessione a chiavetta o PC per spazio espositivo - Connessione a internet - Arredi floreali/nobilitazione area espositiva. Pannello stampato di almeno 100x100cm con grafica fornita del nome dell’attività ;</w:t>
            </w:r>
          </w:p>
          <w:p w14:paraId="67ECDBA0" w14:textId="05EA3B4B" w:rsidR="004B5157" w:rsidRPr="004B5157" w:rsidRDefault="004B5157" w:rsidP="004B5157">
            <w:pPr>
              <w:widowControl/>
              <w:numPr>
                <w:ilvl w:val="0"/>
                <w:numId w:val="20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2 </w:t>
            </w:r>
            <w:r w:rsidRPr="004B5157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magaz</w:t>
            </w:r>
            <w:r w:rsidR="00481D49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zi</w:t>
            </w:r>
            <w:r w:rsidRPr="004B5157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ni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 adeguati a contenere pubblicazioni e materiale informativo.</w:t>
            </w:r>
          </w:p>
          <w:p w14:paraId="04B274BA" w14:textId="77777777" w:rsidR="004B5157" w:rsidRPr="004B5157" w:rsidRDefault="004B5157" w:rsidP="004B5157">
            <w:pPr>
              <w:widowControl/>
              <w:adjustRightInd w:val="0"/>
              <w:ind w:left="720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4B5157" w:rsidRPr="004B5157" w14:paraId="38BFC872" w14:textId="77777777" w:rsidTr="00D00556">
        <w:tc>
          <w:tcPr>
            <w:tcW w:w="10173" w:type="dxa"/>
          </w:tcPr>
          <w:p w14:paraId="796DA3E4" w14:textId="77777777" w:rsidR="004B5157" w:rsidRPr="004B5157" w:rsidRDefault="004B5157" w:rsidP="004B5157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</w:pPr>
          </w:p>
          <w:p w14:paraId="7E35627A" w14:textId="77777777" w:rsidR="004B5157" w:rsidRPr="004B5157" w:rsidRDefault="004B5157" w:rsidP="004B5157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ARREDI E COMPLEMENTI GRAFICI</w:t>
            </w:r>
          </w:p>
          <w:p w14:paraId="610FDDE0" w14:textId="77777777" w:rsidR="004B5157" w:rsidRPr="004B5157" w:rsidRDefault="004B5157" w:rsidP="004B5157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4B5157" w:rsidRPr="004B5157" w14:paraId="3D6DFB52" w14:textId="77777777" w:rsidTr="00D00556">
        <w:tc>
          <w:tcPr>
            <w:tcW w:w="10173" w:type="dxa"/>
          </w:tcPr>
          <w:p w14:paraId="307990BC" w14:textId="77777777" w:rsidR="004B5157" w:rsidRPr="004B5157" w:rsidRDefault="004B5157" w:rsidP="004B5157">
            <w:pPr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realizzazione di grafiche, pannelli e frontalini personalizzati identificativi dei partecipanti, apparecchiature tecnologiche; </w:t>
            </w:r>
          </w:p>
          <w:p w14:paraId="42B25589" w14:textId="2CCCF06D" w:rsidR="004B5157" w:rsidRPr="004B5157" w:rsidRDefault="004B5157" w:rsidP="004B5157">
            <w:pPr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audiovideo e quant’altro necessario alla presentazione dei singoli progetti</w:t>
            </w:r>
            <w:r w:rsidR="00506029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;</w:t>
            </w:r>
          </w:p>
          <w:p w14:paraId="5E5BB63A" w14:textId="49582D09" w:rsidR="004B5157" w:rsidRPr="00F618D2" w:rsidRDefault="00506029" w:rsidP="00F618D2">
            <w:pPr>
              <w:widowControl/>
              <w:numPr>
                <w:ilvl w:val="0"/>
                <w:numId w:val="19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e</w:t>
            </w:r>
            <w:r w:rsidR="004B5157"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ventuali arredi a completamento degli spazi dedicati (poltroncine – cestini – attaccapanni etc.)</w:t>
            </w:r>
            <w:r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.</w:t>
            </w:r>
            <w:r w:rsidR="004B5157"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  <w:p w14:paraId="7F6AC0A8" w14:textId="77777777" w:rsidR="004B5157" w:rsidRPr="004B5157" w:rsidRDefault="004B5157" w:rsidP="004B5157">
            <w:pPr>
              <w:widowControl/>
              <w:adjustRightInd w:val="0"/>
              <w:jc w:val="both"/>
              <w:rPr>
                <w:rFonts w:eastAsiaTheme="minorHAnsi"/>
                <w:noProof/>
                <w:sz w:val="24"/>
                <w:szCs w:val="24"/>
                <w:lang w:eastAsia="en-US" w:bidi="ar-SA"/>
              </w:rPr>
            </w:pPr>
          </w:p>
        </w:tc>
      </w:tr>
      <w:tr w:rsidR="004B5157" w:rsidRPr="004B5157" w14:paraId="48709A42" w14:textId="77777777" w:rsidTr="00D00556">
        <w:tc>
          <w:tcPr>
            <w:tcW w:w="10173" w:type="dxa"/>
          </w:tcPr>
          <w:p w14:paraId="3F4F503B" w14:textId="77777777" w:rsidR="004B5157" w:rsidRPr="004B5157" w:rsidRDefault="004B5157" w:rsidP="004B5157">
            <w:pPr>
              <w:widowControl/>
              <w:adjustRightInd w:val="0"/>
              <w:jc w:val="center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</w:p>
          <w:p w14:paraId="60C5C04C" w14:textId="77777777" w:rsidR="004B5157" w:rsidRPr="004B5157" w:rsidRDefault="004B5157" w:rsidP="004B5157">
            <w:pPr>
              <w:widowControl/>
              <w:adjustRightInd w:val="0"/>
              <w:jc w:val="center"/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 xml:space="preserve">ALTRE SPESE (*) </w:t>
            </w:r>
          </w:p>
          <w:p w14:paraId="1D6F0DC9" w14:textId="77777777" w:rsidR="004B5157" w:rsidRPr="004B5157" w:rsidRDefault="004B5157" w:rsidP="004B5157">
            <w:pPr>
              <w:widowControl/>
              <w:adjustRightInd w:val="0"/>
              <w:jc w:val="both"/>
              <w:rPr>
                <w:rFonts w:eastAsiaTheme="minorHAnsi"/>
                <w:noProof/>
                <w:sz w:val="24"/>
                <w:szCs w:val="24"/>
                <w:lang w:eastAsia="en-US" w:bidi="ar-SA"/>
              </w:rPr>
            </w:pPr>
          </w:p>
        </w:tc>
      </w:tr>
      <w:tr w:rsidR="004B5157" w:rsidRPr="004B5157" w14:paraId="5CBF3358" w14:textId="77777777" w:rsidTr="00D00556">
        <w:tc>
          <w:tcPr>
            <w:tcW w:w="10173" w:type="dxa"/>
          </w:tcPr>
          <w:p w14:paraId="22DA9F55" w14:textId="77777777" w:rsidR="004B5157" w:rsidRPr="004B5157" w:rsidRDefault="004B5157" w:rsidP="004B5157">
            <w:pPr>
              <w:widowControl/>
              <w:adjustRightInd w:val="0"/>
              <w:jc w:val="center"/>
              <w:rPr>
                <w:rFonts w:eastAsiaTheme="minorHAnsi"/>
                <w:noProof/>
                <w:sz w:val="24"/>
                <w:szCs w:val="24"/>
                <w:lang w:eastAsia="en-US" w:bidi="ar-SA"/>
              </w:rPr>
            </w:pPr>
          </w:p>
          <w:p w14:paraId="381F530D" w14:textId="0E1E5EF7" w:rsidR="004B5157" w:rsidRDefault="004B5157" w:rsidP="004B5157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Spese relative alla partecipazione delle scuole di diverse Regioni individuate dalle Direzioni di competenza. In particolare garantire le coperture delle spese di vitto e alloggio</w:t>
            </w:r>
            <w:r w:rsidR="008A128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:</w:t>
            </w:r>
          </w:p>
          <w:p w14:paraId="42D153AC" w14:textId="5F834EC9" w:rsidR="008A1287" w:rsidRPr="000B7F0F" w:rsidRDefault="008A1287" w:rsidP="008A1287">
            <w:pPr>
              <w:widowControl/>
              <w:numPr>
                <w:ilvl w:val="1"/>
                <w:numId w:val="18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sz w:val="24"/>
                <w:szCs w:val="24"/>
                <w:lang w:eastAsia="en-US" w:bidi="ar-SA"/>
              </w:rPr>
            </w:pPr>
            <w:r w:rsidRPr="000B7F0F">
              <w:rPr>
                <w:rFonts w:eastAsiaTheme="minorHAnsi"/>
                <w:b/>
                <w:bCs/>
                <w:noProof/>
                <w:sz w:val="24"/>
                <w:szCs w:val="24"/>
                <w:lang w:eastAsia="en-US" w:bidi="ar-SA"/>
              </w:rPr>
              <w:t>RETI DI SCUOLE</w:t>
            </w:r>
            <w:r w:rsidRPr="000B7F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 – 6 del</w:t>
            </w:r>
            <w:r w:rsidR="00F618D2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>e</w:t>
            </w:r>
            <w:r w:rsidRPr="000B7F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gazioni formate da 1 docente e 4 studenti </w:t>
            </w:r>
          </w:p>
          <w:p w14:paraId="03018F9C" w14:textId="26501EFC" w:rsidR="008A1287" w:rsidRPr="000B7F0F" w:rsidRDefault="008A1287" w:rsidP="008A1287">
            <w:pPr>
              <w:widowControl/>
              <w:numPr>
                <w:ilvl w:val="1"/>
                <w:numId w:val="18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sz w:val="24"/>
                <w:szCs w:val="24"/>
                <w:lang w:eastAsia="en-US" w:bidi="ar-SA"/>
              </w:rPr>
            </w:pPr>
            <w:r w:rsidRPr="000B7F0F">
              <w:rPr>
                <w:rFonts w:eastAsiaTheme="minorHAnsi"/>
                <w:b/>
                <w:bCs/>
                <w:noProof/>
                <w:sz w:val="24"/>
                <w:szCs w:val="24"/>
                <w:lang w:eastAsia="en-US" w:bidi="ar-SA"/>
              </w:rPr>
              <w:t>PNRR</w:t>
            </w:r>
            <w:r w:rsidRPr="000B7F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 – </w:t>
            </w:r>
            <w:r w:rsidR="000B7F0F" w:rsidRPr="000B7F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>1</w:t>
            </w:r>
            <w:r w:rsidRPr="000B7F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 delegazioni formate da 1 docente e 3 studenti </w:t>
            </w:r>
          </w:p>
          <w:p w14:paraId="26A3D814" w14:textId="7D6A0690" w:rsidR="0046164F" w:rsidRPr="000B7F0F" w:rsidRDefault="0046164F" w:rsidP="008A1287">
            <w:pPr>
              <w:widowControl/>
              <w:numPr>
                <w:ilvl w:val="1"/>
                <w:numId w:val="18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sz w:val="24"/>
                <w:szCs w:val="24"/>
                <w:lang w:eastAsia="en-US" w:bidi="ar-SA"/>
              </w:rPr>
            </w:pPr>
            <w:r w:rsidRPr="000B7F0F">
              <w:rPr>
                <w:rFonts w:eastAsiaTheme="minorHAnsi"/>
                <w:b/>
                <w:bCs/>
                <w:noProof/>
                <w:sz w:val="24"/>
                <w:szCs w:val="24"/>
                <w:lang w:eastAsia="en-US" w:bidi="ar-SA"/>
              </w:rPr>
              <w:t xml:space="preserve">LTO </w:t>
            </w:r>
            <w:r w:rsidRPr="000B7F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– </w:t>
            </w:r>
            <w:r w:rsidR="000B7F0F" w:rsidRPr="000B7F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>1</w:t>
            </w:r>
            <w:r w:rsidRPr="000B7F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 delegazion</w:t>
            </w:r>
            <w:r w:rsidR="00912A6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e </w:t>
            </w:r>
            <w:r w:rsidRPr="000B7F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>format</w:t>
            </w:r>
            <w:r w:rsidR="00912A6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>a</w:t>
            </w:r>
            <w:r w:rsidRPr="000B7F0F">
              <w:rPr>
                <w:rFonts w:eastAsiaTheme="minorHAnsi"/>
                <w:noProof/>
                <w:sz w:val="24"/>
                <w:szCs w:val="24"/>
                <w:lang w:eastAsia="en-US" w:bidi="ar-SA"/>
              </w:rPr>
              <w:t xml:space="preserve"> da 2 docenti e 4 studenti</w:t>
            </w:r>
          </w:p>
          <w:p w14:paraId="24C1E507" w14:textId="499B5124" w:rsidR="004B5157" w:rsidRDefault="004B5157" w:rsidP="004B5157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Le istituzioni scolastiche</w:t>
            </w:r>
            <w:r w:rsidR="008A128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 delle delegazioni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 saranno selezionate dal Ministero secondo le direzioni di competenza, sulla base dei progetti realizzati lo scorso anno che si sono distinti per originalità e risultati</w:t>
            </w:r>
            <w:r w:rsidR="00506029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.</w:t>
            </w:r>
          </w:p>
          <w:p w14:paraId="494A1F86" w14:textId="77777777" w:rsidR="003A6D55" w:rsidRDefault="003A6D55" w:rsidP="004B5157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Pranzi a Buffet per</w:t>
            </w:r>
            <w:r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:</w:t>
            </w:r>
            <w:r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  <w:p w14:paraId="6867F766" w14:textId="5186B642" w:rsidR="003A6D55" w:rsidRPr="003A6D55" w:rsidRDefault="003A6D55" w:rsidP="003A6D55">
            <w:pPr>
              <w:widowControl/>
              <w:numPr>
                <w:ilvl w:val="1"/>
                <w:numId w:val="18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3A6D55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ospiti e relatori</w:t>
            </w:r>
          </w:p>
          <w:p w14:paraId="40637743" w14:textId="03FC22CA" w:rsidR="003A6D55" w:rsidRPr="003A6D55" w:rsidRDefault="003A6D55" w:rsidP="003A6D55">
            <w:pPr>
              <w:widowControl/>
              <w:numPr>
                <w:ilvl w:val="1"/>
                <w:numId w:val="18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3A6D55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studenti e docenti delle Reti di Scuole</w:t>
            </w:r>
            <w:r w:rsidR="004A0264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, LTO</w:t>
            </w:r>
            <w:r w:rsidRPr="003A6D55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 xml:space="preserve"> e P</w:t>
            </w:r>
            <w:r w:rsidR="00506029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NRR</w:t>
            </w:r>
          </w:p>
          <w:p w14:paraId="6EAAC2FD" w14:textId="044F47A6" w:rsidR="003A6D55" w:rsidRPr="003A6D55" w:rsidRDefault="003A6D55" w:rsidP="003A6D55">
            <w:pPr>
              <w:widowControl/>
              <w:numPr>
                <w:ilvl w:val="1"/>
                <w:numId w:val="18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</w:pPr>
            <w:r w:rsidRPr="003A6D55">
              <w:rPr>
                <w:rFonts w:eastAsiaTheme="minorHAnsi"/>
                <w:b/>
                <w:bCs/>
                <w:noProof/>
                <w:color w:val="000000"/>
                <w:sz w:val="24"/>
                <w:szCs w:val="24"/>
                <w:lang w:eastAsia="en-US" w:bidi="ar-SA"/>
              </w:rPr>
              <w:t>delegati degli ITS invitati</w:t>
            </w:r>
          </w:p>
          <w:p w14:paraId="3D7C0613" w14:textId="41E9F1FF" w:rsidR="004B5157" w:rsidRPr="004B5157" w:rsidRDefault="00506029" w:rsidP="004B5157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s</w:t>
            </w:r>
            <w:r w:rsidR="004B5157"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pese </w:t>
            </w:r>
            <w:r w:rsidR="00636ACF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per assicurare la presenza di </w:t>
            </w:r>
            <w:r w:rsidR="004B5157"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 xml:space="preserve">personale della scuola selezionata con il presente bando presso la </w:t>
            </w:r>
            <w:r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F</w:t>
            </w:r>
            <w:r w:rsidR="004B5157"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iera per attività di presidio e supporto organizzativo all’iniziativa</w:t>
            </w:r>
            <w:r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;</w:t>
            </w:r>
          </w:p>
          <w:p w14:paraId="5A01DA25" w14:textId="121C0A61" w:rsidR="004B5157" w:rsidRPr="004B5157" w:rsidRDefault="00506029" w:rsidP="004B5157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t</w:t>
            </w:r>
            <w:r w:rsidR="004B5157"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rasferimento materiali promozionali e informativi dalla sede di Roma alla Fiera e ritorno compreso eventuale ritiro presso varie sedi;</w:t>
            </w:r>
          </w:p>
          <w:p w14:paraId="5FC7E1AC" w14:textId="1EC87DC9" w:rsidR="004B5157" w:rsidRPr="004B5157" w:rsidRDefault="00506029" w:rsidP="004B5157">
            <w:pPr>
              <w:widowControl/>
              <w:numPr>
                <w:ilvl w:val="0"/>
                <w:numId w:val="18"/>
              </w:numPr>
              <w:autoSpaceDE/>
              <w:autoSpaceDN/>
              <w:adjustRightInd w:val="0"/>
              <w:spacing w:line="360" w:lineRule="auto"/>
              <w:jc w:val="both"/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e</w:t>
            </w:r>
            <w:r w:rsidR="004B5157" w:rsidRPr="004B5157"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ventuali altre spese (affitto sale e noleggio attrezzature)</w:t>
            </w:r>
            <w:r>
              <w:rPr>
                <w:rFonts w:eastAsiaTheme="minorHAnsi"/>
                <w:noProof/>
                <w:color w:val="000000"/>
                <w:sz w:val="24"/>
                <w:szCs w:val="24"/>
                <w:lang w:eastAsia="en-US" w:bidi="ar-SA"/>
              </w:rPr>
              <w:t>.</w:t>
            </w:r>
          </w:p>
          <w:p w14:paraId="12297D79" w14:textId="77777777" w:rsidR="004B5157" w:rsidRPr="004B5157" w:rsidRDefault="004B5157" w:rsidP="004B5157">
            <w:pPr>
              <w:widowControl/>
              <w:adjustRightInd w:val="0"/>
              <w:jc w:val="center"/>
              <w:rPr>
                <w:rFonts w:eastAsiaTheme="minorHAnsi"/>
                <w:noProof/>
                <w:sz w:val="24"/>
                <w:szCs w:val="24"/>
                <w:lang w:eastAsia="en-US" w:bidi="ar-SA"/>
              </w:rPr>
            </w:pPr>
          </w:p>
        </w:tc>
      </w:tr>
    </w:tbl>
    <w:p w14:paraId="2E218D23" w14:textId="77777777" w:rsidR="004B5157" w:rsidRPr="004B5157" w:rsidRDefault="004B5157" w:rsidP="004B5157">
      <w:pPr>
        <w:widowControl/>
        <w:adjustRightInd w:val="0"/>
        <w:jc w:val="center"/>
        <w:rPr>
          <w:rFonts w:eastAsiaTheme="minorHAnsi"/>
          <w:noProof/>
          <w:sz w:val="24"/>
          <w:szCs w:val="24"/>
          <w:lang w:eastAsia="en-US" w:bidi="ar-SA"/>
        </w:rPr>
      </w:pPr>
    </w:p>
    <w:p w14:paraId="58304D35" w14:textId="77777777" w:rsidR="004B5157" w:rsidRPr="004B5157" w:rsidRDefault="004B5157" w:rsidP="004B5157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4B5157">
        <w:rPr>
          <w:rFonts w:eastAsiaTheme="minorHAnsi"/>
          <w:color w:val="000000"/>
          <w:sz w:val="24"/>
          <w:szCs w:val="24"/>
          <w:lang w:eastAsia="en-US" w:bidi="ar-SA"/>
        </w:rPr>
        <w:t>(*) Il budget previsto per le attività relative alla voce “Altre spese” deve essere contenuto nel limite massimo del 35 % dei fondi stanziati</w:t>
      </w:r>
    </w:p>
    <w:p w14:paraId="500ECDC2" w14:textId="77777777" w:rsidR="004B5157" w:rsidRPr="004B5157" w:rsidRDefault="004B5157" w:rsidP="004B5157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p w14:paraId="62F86DB5" w14:textId="77777777" w:rsidR="004B5157" w:rsidRPr="004B5157" w:rsidRDefault="004B5157" w:rsidP="004B5157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p w14:paraId="6F95979C" w14:textId="77777777" w:rsidR="004B5157" w:rsidRPr="004B5157" w:rsidRDefault="004B5157" w:rsidP="004B5157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p w14:paraId="58E63A39" w14:textId="77777777" w:rsidR="004B5157" w:rsidRPr="004B5157" w:rsidRDefault="004B5157" w:rsidP="004B5157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p w14:paraId="135494F8" w14:textId="77777777" w:rsidR="004B5157" w:rsidRPr="004B5157" w:rsidRDefault="004B5157" w:rsidP="004B5157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</w:p>
    <w:p w14:paraId="1F001869" w14:textId="77777777" w:rsidR="00915C81" w:rsidRPr="00915C81" w:rsidRDefault="00915C81" w:rsidP="000F0893">
      <w:pPr>
        <w:jc w:val="both"/>
        <w:rPr>
          <w:rFonts w:eastAsiaTheme="minorHAnsi"/>
        </w:rPr>
      </w:pPr>
    </w:p>
    <w:sectPr w:rsidR="00915C81" w:rsidRPr="00915C81" w:rsidSect="00BB3D4D">
      <w:headerReference w:type="default" r:id="rId8"/>
      <w:footerReference w:type="default" r:id="rId9"/>
      <w:pgSz w:w="11906" w:h="16838"/>
      <w:pgMar w:top="1417" w:right="1134" w:bottom="1702" w:left="1134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D8B1B" w14:textId="77777777" w:rsidR="00B51257" w:rsidRDefault="00B51257" w:rsidP="008C571D">
      <w:r>
        <w:separator/>
      </w:r>
    </w:p>
  </w:endnote>
  <w:endnote w:type="continuationSeparator" w:id="0">
    <w:p w14:paraId="797A6DDE" w14:textId="77777777" w:rsidR="00B51257" w:rsidRDefault="00B51257" w:rsidP="008C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Times New Roman"/>
    <w:charset w:val="00"/>
    <w:family w:val="script"/>
    <w:pitch w:val="variable"/>
    <w:sig w:usb0="00000001" w:usb1="10000000" w:usb2="00000000" w:usb3="00000000" w:csb0="8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31528" w14:textId="77777777" w:rsidR="00BB3D4D" w:rsidRPr="00A76037" w:rsidRDefault="00BB3D4D" w:rsidP="008C571D">
    <w:pPr>
      <w:keepNext/>
      <w:overflowPunct w:val="0"/>
      <w:adjustRightInd w:val="0"/>
      <w:jc w:val="center"/>
      <w:textAlignment w:val="baseline"/>
      <w:outlineLvl w:val="0"/>
      <w:rPr>
        <w:i/>
        <w:sz w:val="16"/>
        <w:szCs w:val="16"/>
      </w:rPr>
    </w:pPr>
  </w:p>
  <w:p w14:paraId="3ADF64C4" w14:textId="77777777" w:rsidR="008C571D" w:rsidRDefault="008C571D" w:rsidP="008C571D">
    <w:pPr>
      <w:keepNext/>
      <w:overflowPunct w:val="0"/>
      <w:adjustRightInd w:val="0"/>
      <w:jc w:val="center"/>
      <w:textAlignment w:val="baseline"/>
      <w:outlineLvl w:val="0"/>
      <w:rPr>
        <w:i/>
        <w:sz w:val="20"/>
        <w:szCs w:val="20"/>
      </w:rPr>
    </w:pPr>
    <w:r w:rsidRPr="008C571D">
      <w:rPr>
        <w:i/>
        <w:sz w:val="20"/>
        <w:szCs w:val="20"/>
      </w:rPr>
      <w:t>Viale Trastevere, 76/A - 00153 Roma</w:t>
    </w:r>
  </w:p>
  <w:p w14:paraId="272986C0" w14:textId="77777777" w:rsidR="00BB3D4D" w:rsidRPr="008C571D" w:rsidRDefault="00BB3D4D" w:rsidP="008C571D">
    <w:pPr>
      <w:keepNext/>
      <w:overflowPunct w:val="0"/>
      <w:adjustRightInd w:val="0"/>
      <w:jc w:val="center"/>
      <w:textAlignment w:val="baseline"/>
      <w:outlineLvl w:val="0"/>
      <w:rPr>
        <w:i/>
        <w:sz w:val="20"/>
        <w:szCs w:val="20"/>
      </w:rPr>
    </w:pPr>
    <w:r>
      <w:rPr>
        <w:i/>
        <w:sz w:val="20"/>
        <w:szCs w:val="20"/>
      </w:rPr>
      <w:t>dgsip.segreteria@istruzione.it 06/5849 3337 - 2995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37C39" w14:textId="77777777" w:rsidR="00B51257" w:rsidRDefault="00B51257" w:rsidP="008C571D">
      <w:r>
        <w:separator/>
      </w:r>
    </w:p>
  </w:footnote>
  <w:footnote w:type="continuationSeparator" w:id="0">
    <w:p w14:paraId="49CC9462" w14:textId="77777777" w:rsidR="00B51257" w:rsidRDefault="00B51257" w:rsidP="008C5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D0669" w14:textId="2DF3DABB" w:rsidR="00A76037" w:rsidRPr="000360FB" w:rsidRDefault="00A76037" w:rsidP="00A76037">
    <w:pPr>
      <w:tabs>
        <w:tab w:val="center" w:pos="4819"/>
        <w:tab w:val="right" w:pos="9638"/>
      </w:tabs>
      <w:autoSpaceDE/>
      <w:jc w:val="center"/>
      <w:rPr>
        <w:rFonts w:ascii="English111 Adagio BT" w:hAnsi="English111 Adagio BT" w:cs="English111 Adagio BT"/>
      </w:rPr>
    </w:pPr>
    <w:r>
      <w:rPr>
        <w:noProof/>
        <w:lang w:bidi="ar-SA"/>
      </w:rPr>
      <w:drawing>
        <wp:inline distT="0" distB="0" distL="0" distR="0" wp14:anchorId="3D160DD2" wp14:editId="7F31A0D4">
          <wp:extent cx="704850" cy="790575"/>
          <wp:effectExtent l="0" t="0" r="0" b="9525"/>
          <wp:docPr id="3" name="Immagine 3" descr="l'emblem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'emblem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BAACE" w14:textId="77777777" w:rsidR="00A76037" w:rsidRPr="000360FB" w:rsidRDefault="00A76037" w:rsidP="00A76037">
    <w:pPr>
      <w:tabs>
        <w:tab w:val="left" w:pos="1985"/>
      </w:tabs>
      <w:autoSpaceDE/>
      <w:jc w:val="center"/>
      <w:rPr>
        <w:rFonts w:ascii="English111 Adagio BT" w:hAnsi="English111 Adagio BT" w:cs="English111 Adagio BT"/>
        <w:sz w:val="48"/>
        <w:szCs w:val="48"/>
      </w:rPr>
    </w:pPr>
    <w:r w:rsidRPr="000360FB">
      <w:rPr>
        <w:rFonts w:ascii="English111 Adagio BT" w:hAnsi="English111 Adagio BT" w:cs="English111 Adagio BT"/>
        <w:sz w:val="48"/>
        <w:szCs w:val="48"/>
      </w:rPr>
      <w:t>Ministero dell’</w:t>
    </w:r>
    <w:r>
      <w:rPr>
        <w:rFonts w:ascii="English111 Adagio BT" w:hAnsi="English111 Adagio BT" w:cs="English111 Adagio BT"/>
        <w:sz w:val="48"/>
        <w:szCs w:val="48"/>
      </w:rPr>
      <w:t>I</w:t>
    </w:r>
    <w:r w:rsidRPr="000360FB">
      <w:rPr>
        <w:rFonts w:ascii="English111 Adagio BT" w:hAnsi="English111 Adagio BT" w:cs="English111 Adagio BT"/>
        <w:sz w:val="48"/>
        <w:szCs w:val="48"/>
      </w:rPr>
      <w:t>struzione</w:t>
    </w:r>
  </w:p>
  <w:p w14:paraId="4F2497AC" w14:textId="77777777" w:rsidR="00A76037" w:rsidRPr="000360FB" w:rsidRDefault="00A76037" w:rsidP="00A76037">
    <w:pPr>
      <w:tabs>
        <w:tab w:val="left" w:pos="1985"/>
      </w:tabs>
      <w:autoSpaceDE/>
      <w:jc w:val="center"/>
      <w:rPr>
        <w:rFonts w:ascii="English111 Adagio BT" w:hAnsi="English111 Adagio BT" w:cs="English111 Adagio BT"/>
        <w:sz w:val="40"/>
        <w:szCs w:val="40"/>
      </w:rPr>
    </w:pPr>
    <w:r w:rsidRPr="000360FB">
      <w:rPr>
        <w:rFonts w:ascii="English111 Adagio BT" w:hAnsi="English111 Adagio BT" w:cs="English111 Adagio BT"/>
        <w:sz w:val="40"/>
        <w:szCs w:val="40"/>
      </w:rPr>
      <w:t xml:space="preserve">Dipartimento </w:t>
    </w:r>
    <w:bookmarkStart w:id="1" w:name="_Hlk82973332"/>
    <w:r w:rsidRPr="000360FB">
      <w:rPr>
        <w:rFonts w:ascii="English111 Adagio BT" w:hAnsi="English111 Adagio BT" w:cs="English111 Adagio BT"/>
        <w:sz w:val="40"/>
        <w:szCs w:val="40"/>
      </w:rPr>
      <w:t>per il sistema educativo di istruzione e di formazione</w:t>
    </w:r>
    <w:bookmarkEnd w:id="1"/>
  </w:p>
  <w:p w14:paraId="49DB7E9F" w14:textId="77777777" w:rsidR="00A76037" w:rsidRPr="000360FB" w:rsidRDefault="00A76037" w:rsidP="00A76037">
    <w:pPr>
      <w:tabs>
        <w:tab w:val="left" w:pos="-1701"/>
      </w:tabs>
      <w:autoSpaceDE/>
      <w:jc w:val="center"/>
      <w:rPr>
        <w:rFonts w:ascii="English111 Adagio BT" w:hAnsi="English111 Adagio BT" w:cs="English111 Adagio BT"/>
        <w:sz w:val="32"/>
      </w:rPr>
    </w:pPr>
    <w:r w:rsidRPr="000360FB">
      <w:rPr>
        <w:rFonts w:ascii="English111 Adagio BT" w:hAnsi="English111 Adagio BT" w:cs="English111 Adagio BT"/>
        <w:sz w:val="32"/>
      </w:rPr>
      <w:t xml:space="preserve">Direzione generale per lo studente, l’inclusione e l’orientamento scolastico </w:t>
    </w:r>
  </w:p>
  <w:p w14:paraId="1EA486F4" w14:textId="5D13D6B0" w:rsidR="00A42BF5" w:rsidRPr="0016487B" w:rsidRDefault="00A42BF5" w:rsidP="0007475E">
    <w:pPr>
      <w:tabs>
        <w:tab w:val="left" w:pos="1985"/>
      </w:tabs>
      <w:jc w:val="center"/>
      <w:rPr>
        <w:rFonts w:asciiTheme="minorHAnsi" w:hAnsiTheme="minorHAnsi" w:cstheme="minorHAns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1612"/>
    <w:multiLevelType w:val="hybridMultilevel"/>
    <w:tmpl w:val="BCEADBE8"/>
    <w:lvl w:ilvl="0" w:tplc="04100011">
      <w:start w:val="1"/>
      <w:numFmt w:val="decimal"/>
      <w:lvlText w:val="%1)"/>
      <w:lvlJc w:val="left"/>
      <w:pPr>
        <w:ind w:left="645" w:hanging="360"/>
      </w:p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0220B8E"/>
    <w:multiLevelType w:val="hybridMultilevel"/>
    <w:tmpl w:val="2D7E9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B4C16"/>
    <w:multiLevelType w:val="hybridMultilevel"/>
    <w:tmpl w:val="7764CFB6"/>
    <w:lvl w:ilvl="0" w:tplc="5570142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9112C53"/>
    <w:multiLevelType w:val="hybridMultilevel"/>
    <w:tmpl w:val="ED520242"/>
    <w:lvl w:ilvl="0" w:tplc="5570142C">
      <w:numFmt w:val="bullet"/>
      <w:lvlText w:val="-"/>
      <w:lvlJc w:val="left"/>
      <w:pPr>
        <w:ind w:left="145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4">
    <w:nsid w:val="2FB15C03"/>
    <w:multiLevelType w:val="hybridMultilevel"/>
    <w:tmpl w:val="6E3A00C8"/>
    <w:lvl w:ilvl="0" w:tplc="5570142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25B17C2"/>
    <w:multiLevelType w:val="hybridMultilevel"/>
    <w:tmpl w:val="1FA43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5D66"/>
    <w:multiLevelType w:val="hybridMultilevel"/>
    <w:tmpl w:val="0C022A22"/>
    <w:lvl w:ilvl="0" w:tplc="B4E2C8D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B5FA4"/>
    <w:multiLevelType w:val="hybridMultilevel"/>
    <w:tmpl w:val="D130D0B8"/>
    <w:lvl w:ilvl="0" w:tplc="C944E9A8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68A5EE0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29B8DA96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5C162AE4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FC72698C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7C321C36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B50C099A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CE74AD9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2A76611A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8">
    <w:nsid w:val="45CA2626"/>
    <w:multiLevelType w:val="hybridMultilevel"/>
    <w:tmpl w:val="DF8CA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E5348A"/>
    <w:multiLevelType w:val="hybridMultilevel"/>
    <w:tmpl w:val="7CF8BA6C"/>
    <w:lvl w:ilvl="0" w:tplc="5570142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4AE5037"/>
    <w:multiLevelType w:val="hybridMultilevel"/>
    <w:tmpl w:val="FD00B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553612"/>
    <w:multiLevelType w:val="hybridMultilevel"/>
    <w:tmpl w:val="FF921754"/>
    <w:lvl w:ilvl="0" w:tplc="E2DA4EC8">
      <w:start w:val="1"/>
      <w:numFmt w:val="bullet"/>
      <w:lvlText w:val=""/>
      <w:lvlJc w:val="left"/>
      <w:pPr>
        <w:ind w:left="11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2">
    <w:nsid w:val="5C3822FF"/>
    <w:multiLevelType w:val="hybridMultilevel"/>
    <w:tmpl w:val="7D547444"/>
    <w:lvl w:ilvl="0" w:tplc="EFEE101E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18209BE">
      <w:start w:val="1"/>
      <w:numFmt w:val="lowerLetter"/>
      <w:lvlText w:val="%2)"/>
      <w:lvlJc w:val="left"/>
      <w:pPr>
        <w:ind w:left="1180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it-IT" w:eastAsia="en-US" w:bidi="ar-SA"/>
      </w:rPr>
    </w:lvl>
    <w:lvl w:ilvl="2" w:tplc="42B48A32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 w:tplc="06564A24">
      <w:numFmt w:val="bullet"/>
      <w:lvlText w:val="•"/>
      <w:lvlJc w:val="left"/>
      <w:pPr>
        <w:ind w:left="3141" w:hanging="360"/>
      </w:pPr>
      <w:rPr>
        <w:rFonts w:hint="default"/>
        <w:lang w:val="it-IT" w:eastAsia="en-US" w:bidi="ar-SA"/>
      </w:rPr>
    </w:lvl>
    <w:lvl w:ilvl="4" w:tplc="A396582C">
      <w:numFmt w:val="bullet"/>
      <w:lvlText w:val="•"/>
      <w:lvlJc w:val="left"/>
      <w:pPr>
        <w:ind w:left="4122" w:hanging="360"/>
      </w:pPr>
      <w:rPr>
        <w:rFonts w:hint="default"/>
        <w:lang w:val="it-IT" w:eastAsia="en-US" w:bidi="ar-SA"/>
      </w:rPr>
    </w:lvl>
    <w:lvl w:ilvl="5" w:tplc="0D3873AC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6" w:tplc="2946B2F8">
      <w:numFmt w:val="bullet"/>
      <w:lvlText w:val="•"/>
      <w:lvlJc w:val="left"/>
      <w:pPr>
        <w:ind w:left="6083" w:hanging="360"/>
      </w:pPr>
      <w:rPr>
        <w:rFonts w:hint="default"/>
        <w:lang w:val="it-IT" w:eastAsia="en-US" w:bidi="ar-SA"/>
      </w:rPr>
    </w:lvl>
    <w:lvl w:ilvl="7" w:tplc="4A7CF212">
      <w:numFmt w:val="bullet"/>
      <w:lvlText w:val="•"/>
      <w:lvlJc w:val="left"/>
      <w:pPr>
        <w:ind w:left="7064" w:hanging="360"/>
      </w:pPr>
      <w:rPr>
        <w:rFonts w:hint="default"/>
        <w:lang w:val="it-IT" w:eastAsia="en-US" w:bidi="ar-SA"/>
      </w:rPr>
    </w:lvl>
    <w:lvl w:ilvl="8" w:tplc="1D34ACE2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</w:abstractNum>
  <w:abstractNum w:abstractNumId="13">
    <w:nsid w:val="5FE9359F"/>
    <w:multiLevelType w:val="hybridMultilevel"/>
    <w:tmpl w:val="98A22A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E150E2"/>
    <w:multiLevelType w:val="hybridMultilevel"/>
    <w:tmpl w:val="3F806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B1429"/>
    <w:multiLevelType w:val="hybridMultilevel"/>
    <w:tmpl w:val="230619D8"/>
    <w:lvl w:ilvl="0" w:tplc="F35830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24A0B"/>
    <w:multiLevelType w:val="hybridMultilevel"/>
    <w:tmpl w:val="8EBE9BC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70B0664C"/>
    <w:multiLevelType w:val="hybridMultilevel"/>
    <w:tmpl w:val="9F8C6B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00437B"/>
    <w:multiLevelType w:val="hybridMultilevel"/>
    <w:tmpl w:val="69600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51726"/>
    <w:multiLevelType w:val="hybridMultilevel"/>
    <w:tmpl w:val="4DC88944"/>
    <w:lvl w:ilvl="0" w:tplc="5570142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DA56AE2"/>
    <w:multiLevelType w:val="hybridMultilevel"/>
    <w:tmpl w:val="170815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4"/>
  </w:num>
  <w:num w:numId="5">
    <w:abstractNumId w:val="6"/>
  </w:num>
  <w:num w:numId="6">
    <w:abstractNumId w:val="5"/>
  </w:num>
  <w:num w:numId="7">
    <w:abstractNumId w:val="19"/>
  </w:num>
  <w:num w:numId="8">
    <w:abstractNumId w:val="16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2"/>
  </w:num>
  <w:num w:numId="13">
    <w:abstractNumId w:val="4"/>
  </w:num>
  <w:num w:numId="14">
    <w:abstractNumId w:val="3"/>
  </w:num>
  <w:num w:numId="15">
    <w:abstractNumId w:val="7"/>
  </w:num>
  <w:num w:numId="16">
    <w:abstractNumId w:val="12"/>
  </w:num>
  <w:num w:numId="17">
    <w:abstractNumId w:val="15"/>
  </w:num>
  <w:num w:numId="18">
    <w:abstractNumId w:val="10"/>
  </w:num>
  <w:num w:numId="19">
    <w:abstractNumId w:val="18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1D"/>
    <w:rsid w:val="00002FF9"/>
    <w:rsid w:val="000106C8"/>
    <w:rsid w:val="0003795A"/>
    <w:rsid w:val="00063E84"/>
    <w:rsid w:val="00067F0C"/>
    <w:rsid w:val="000721E0"/>
    <w:rsid w:val="0007475E"/>
    <w:rsid w:val="00074B3B"/>
    <w:rsid w:val="0009435A"/>
    <w:rsid w:val="000974F0"/>
    <w:rsid w:val="000A3C97"/>
    <w:rsid w:val="000B3C5B"/>
    <w:rsid w:val="000B7F0F"/>
    <w:rsid w:val="000D4C31"/>
    <w:rsid w:val="000F0893"/>
    <w:rsid w:val="001017E2"/>
    <w:rsid w:val="00106FE7"/>
    <w:rsid w:val="00111F17"/>
    <w:rsid w:val="001135D1"/>
    <w:rsid w:val="00130E7C"/>
    <w:rsid w:val="001321D0"/>
    <w:rsid w:val="001437B0"/>
    <w:rsid w:val="001563B1"/>
    <w:rsid w:val="00160413"/>
    <w:rsid w:val="0016047A"/>
    <w:rsid w:val="0016487B"/>
    <w:rsid w:val="001823FE"/>
    <w:rsid w:val="001861C4"/>
    <w:rsid w:val="001861FF"/>
    <w:rsid w:val="00191CC0"/>
    <w:rsid w:val="001A3905"/>
    <w:rsid w:val="001B0E3B"/>
    <w:rsid w:val="001C0126"/>
    <w:rsid w:val="001C456A"/>
    <w:rsid w:val="001C4ED4"/>
    <w:rsid w:val="001C7ACD"/>
    <w:rsid w:val="00201E7A"/>
    <w:rsid w:val="00202978"/>
    <w:rsid w:val="00203085"/>
    <w:rsid w:val="00216EA3"/>
    <w:rsid w:val="00224389"/>
    <w:rsid w:val="00224DF4"/>
    <w:rsid w:val="002254B8"/>
    <w:rsid w:val="00230B58"/>
    <w:rsid w:val="00242E99"/>
    <w:rsid w:val="002451EB"/>
    <w:rsid w:val="002518B7"/>
    <w:rsid w:val="0027666C"/>
    <w:rsid w:val="002769C7"/>
    <w:rsid w:val="00280B8D"/>
    <w:rsid w:val="002A0A8D"/>
    <w:rsid w:val="002A36BA"/>
    <w:rsid w:val="002B1CB3"/>
    <w:rsid w:val="002B2F24"/>
    <w:rsid w:val="002D3804"/>
    <w:rsid w:val="002D4B65"/>
    <w:rsid w:val="002E355A"/>
    <w:rsid w:val="002E3FC8"/>
    <w:rsid w:val="002E59B4"/>
    <w:rsid w:val="002F2E63"/>
    <w:rsid w:val="00303F40"/>
    <w:rsid w:val="00316A2D"/>
    <w:rsid w:val="003275E9"/>
    <w:rsid w:val="003319C5"/>
    <w:rsid w:val="00334516"/>
    <w:rsid w:val="003346CF"/>
    <w:rsid w:val="00341D9F"/>
    <w:rsid w:val="003625DF"/>
    <w:rsid w:val="00373437"/>
    <w:rsid w:val="0037529F"/>
    <w:rsid w:val="00375E6B"/>
    <w:rsid w:val="003816EF"/>
    <w:rsid w:val="003962CE"/>
    <w:rsid w:val="003A1B54"/>
    <w:rsid w:val="003A6D55"/>
    <w:rsid w:val="003C0187"/>
    <w:rsid w:val="003E419A"/>
    <w:rsid w:val="003E4AB5"/>
    <w:rsid w:val="003F3A77"/>
    <w:rsid w:val="003F616A"/>
    <w:rsid w:val="003F7C30"/>
    <w:rsid w:val="004104B5"/>
    <w:rsid w:val="004266BC"/>
    <w:rsid w:val="00426CF5"/>
    <w:rsid w:val="00434B2A"/>
    <w:rsid w:val="00436C4D"/>
    <w:rsid w:val="0046164F"/>
    <w:rsid w:val="00464ED9"/>
    <w:rsid w:val="0047190F"/>
    <w:rsid w:val="0047193A"/>
    <w:rsid w:val="00481D49"/>
    <w:rsid w:val="004853E8"/>
    <w:rsid w:val="004934F3"/>
    <w:rsid w:val="004A0264"/>
    <w:rsid w:val="004A5242"/>
    <w:rsid w:val="004B5157"/>
    <w:rsid w:val="004D10CC"/>
    <w:rsid w:val="004D3C43"/>
    <w:rsid w:val="004E245C"/>
    <w:rsid w:val="004E501A"/>
    <w:rsid w:val="004E5263"/>
    <w:rsid w:val="004E527C"/>
    <w:rsid w:val="00506029"/>
    <w:rsid w:val="00511ED3"/>
    <w:rsid w:val="005218C8"/>
    <w:rsid w:val="005277AD"/>
    <w:rsid w:val="00531636"/>
    <w:rsid w:val="00533C6F"/>
    <w:rsid w:val="0053767A"/>
    <w:rsid w:val="00547E0B"/>
    <w:rsid w:val="00553336"/>
    <w:rsid w:val="00566E5B"/>
    <w:rsid w:val="00584FE8"/>
    <w:rsid w:val="005962E3"/>
    <w:rsid w:val="005968F7"/>
    <w:rsid w:val="005B0F38"/>
    <w:rsid w:val="005E57DB"/>
    <w:rsid w:val="005E60D6"/>
    <w:rsid w:val="00600058"/>
    <w:rsid w:val="0060180C"/>
    <w:rsid w:val="00636ACF"/>
    <w:rsid w:val="00644928"/>
    <w:rsid w:val="0064586C"/>
    <w:rsid w:val="00656892"/>
    <w:rsid w:val="00657953"/>
    <w:rsid w:val="0067108D"/>
    <w:rsid w:val="00691123"/>
    <w:rsid w:val="00692BF6"/>
    <w:rsid w:val="00692E24"/>
    <w:rsid w:val="00694DDF"/>
    <w:rsid w:val="00696C71"/>
    <w:rsid w:val="00696D57"/>
    <w:rsid w:val="006D5CC1"/>
    <w:rsid w:val="006F780D"/>
    <w:rsid w:val="00700CA9"/>
    <w:rsid w:val="00701C76"/>
    <w:rsid w:val="0071145B"/>
    <w:rsid w:val="00741FAD"/>
    <w:rsid w:val="00752A78"/>
    <w:rsid w:val="007548B4"/>
    <w:rsid w:val="00766049"/>
    <w:rsid w:val="00772DFC"/>
    <w:rsid w:val="00777738"/>
    <w:rsid w:val="00787935"/>
    <w:rsid w:val="00793ABD"/>
    <w:rsid w:val="00794ED5"/>
    <w:rsid w:val="007B2EA8"/>
    <w:rsid w:val="007B70A2"/>
    <w:rsid w:val="007C386F"/>
    <w:rsid w:val="00830C8A"/>
    <w:rsid w:val="0083180F"/>
    <w:rsid w:val="0084042C"/>
    <w:rsid w:val="00856F7E"/>
    <w:rsid w:val="00857186"/>
    <w:rsid w:val="0088159A"/>
    <w:rsid w:val="00894CBA"/>
    <w:rsid w:val="00897C4D"/>
    <w:rsid w:val="008A1287"/>
    <w:rsid w:val="008A23D5"/>
    <w:rsid w:val="008A2BF9"/>
    <w:rsid w:val="008B507A"/>
    <w:rsid w:val="008C571D"/>
    <w:rsid w:val="008C647F"/>
    <w:rsid w:val="008E7EF0"/>
    <w:rsid w:val="008F2DE7"/>
    <w:rsid w:val="00905B31"/>
    <w:rsid w:val="00912A6F"/>
    <w:rsid w:val="00913799"/>
    <w:rsid w:val="00915C81"/>
    <w:rsid w:val="009263DC"/>
    <w:rsid w:val="009359CF"/>
    <w:rsid w:val="009364F7"/>
    <w:rsid w:val="00941D73"/>
    <w:rsid w:val="009514E8"/>
    <w:rsid w:val="00993639"/>
    <w:rsid w:val="009A06DA"/>
    <w:rsid w:val="009B4081"/>
    <w:rsid w:val="009C1BFB"/>
    <w:rsid w:val="009C5ADE"/>
    <w:rsid w:val="009C63A8"/>
    <w:rsid w:val="009D5354"/>
    <w:rsid w:val="009D53C4"/>
    <w:rsid w:val="009F1BA0"/>
    <w:rsid w:val="00A02ADF"/>
    <w:rsid w:val="00A066D8"/>
    <w:rsid w:val="00A17012"/>
    <w:rsid w:val="00A3561A"/>
    <w:rsid w:val="00A42BF5"/>
    <w:rsid w:val="00A43F49"/>
    <w:rsid w:val="00A47E00"/>
    <w:rsid w:val="00A525FA"/>
    <w:rsid w:val="00A56F32"/>
    <w:rsid w:val="00A62FC0"/>
    <w:rsid w:val="00A66ECA"/>
    <w:rsid w:val="00A6745C"/>
    <w:rsid w:val="00A741F9"/>
    <w:rsid w:val="00A76037"/>
    <w:rsid w:val="00A93FAB"/>
    <w:rsid w:val="00AB3783"/>
    <w:rsid w:val="00AC5C2C"/>
    <w:rsid w:val="00AD23CE"/>
    <w:rsid w:val="00AE0E94"/>
    <w:rsid w:val="00AE1D2B"/>
    <w:rsid w:val="00AE6304"/>
    <w:rsid w:val="00B13C1B"/>
    <w:rsid w:val="00B17177"/>
    <w:rsid w:val="00B250C7"/>
    <w:rsid w:val="00B32CF9"/>
    <w:rsid w:val="00B51257"/>
    <w:rsid w:val="00B654B8"/>
    <w:rsid w:val="00B94B78"/>
    <w:rsid w:val="00B9665F"/>
    <w:rsid w:val="00BB3D4D"/>
    <w:rsid w:val="00BC6125"/>
    <w:rsid w:val="00BD2655"/>
    <w:rsid w:val="00BD2F58"/>
    <w:rsid w:val="00BD5CD0"/>
    <w:rsid w:val="00BD7156"/>
    <w:rsid w:val="00BF517F"/>
    <w:rsid w:val="00BF5F55"/>
    <w:rsid w:val="00C03C66"/>
    <w:rsid w:val="00C142A5"/>
    <w:rsid w:val="00C2208B"/>
    <w:rsid w:val="00C34DFD"/>
    <w:rsid w:val="00C6067A"/>
    <w:rsid w:val="00C61C8B"/>
    <w:rsid w:val="00C63A83"/>
    <w:rsid w:val="00C83DD0"/>
    <w:rsid w:val="00CA0395"/>
    <w:rsid w:val="00CB10A7"/>
    <w:rsid w:val="00CB37A7"/>
    <w:rsid w:val="00CB6EAB"/>
    <w:rsid w:val="00CD3A5B"/>
    <w:rsid w:val="00CD68C2"/>
    <w:rsid w:val="00D2793E"/>
    <w:rsid w:val="00D500A3"/>
    <w:rsid w:val="00D503B0"/>
    <w:rsid w:val="00D525C2"/>
    <w:rsid w:val="00D669DF"/>
    <w:rsid w:val="00D70144"/>
    <w:rsid w:val="00D8046D"/>
    <w:rsid w:val="00DA3CE1"/>
    <w:rsid w:val="00DA74D9"/>
    <w:rsid w:val="00DB071F"/>
    <w:rsid w:val="00DB7404"/>
    <w:rsid w:val="00DB7714"/>
    <w:rsid w:val="00E02078"/>
    <w:rsid w:val="00E02C29"/>
    <w:rsid w:val="00E11891"/>
    <w:rsid w:val="00E13ED0"/>
    <w:rsid w:val="00E14164"/>
    <w:rsid w:val="00E34A8D"/>
    <w:rsid w:val="00E473B7"/>
    <w:rsid w:val="00E5188F"/>
    <w:rsid w:val="00E52AE9"/>
    <w:rsid w:val="00E53C30"/>
    <w:rsid w:val="00E56A4D"/>
    <w:rsid w:val="00E83FE6"/>
    <w:rsid w:val="00E90063"/>
    <w:rsid w:val="00EA4E39"/>
    <w:rsid w:val="00EC3ED7"/>
    <w:rsid w:val="00ED37BA"/>
    <w:rsid w:val="00ED5156"/>
    <w:rsid w:val="00ED7CBD"/>
    <w:rsid w:val="00EF11EC"/>
    <w:rsid w:val="00F02515"/>
    <w:rsid w:val="00F162E1"/>
    <w:rsid w:val="00F20D6B"/>
    <w:rsid w:val="00F22399"/>
    <w:rsid w:val="00F24165"/>
    <w:rsid w:val="00F252CD"/>
    <w:rsid w:val="00F27165"/>
    <w:rsid w:val="00F45EA5"/>
    <w:rsid w:val="00F460C2"/>
    <w:rsid w:val="00F618D2"/>
    <w:rsid w:val="00F656DA"/>
    <w:rsid w:val="00F90302"/>
    <w:rsid w:val="00FB1808"/>
    <w:rsid w:val="00FB4DA9"/>
    <w:rsid w:val="00FE083C"/>
    <w:rsid w:val="00F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01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5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3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563B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8C571D"/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7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1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1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styleId="Corpotesto">
    <w:name w:val="Body Text"/>
    <w:basedOn w:val="Normale"/>
    <w:link w:val="CorpotestoCarattere"/>
    <w:uiPriority w:val="1"/>
    <w:qFormat/>
    <w:rsid w:val="003E4A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paragraph" w:customStyle="1" w:styleId="Default">
    <w:name w:val="Default"/>
    <w:rsid w:val="00EA4E3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63B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0005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3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paragraph" w:styleId="Paragrafoelenco">
    <w:name w:val="List Paragraph"/>
    <w:basedOn w:val="Normale"/>
    <w:uiPriority w:val="34"/>
    <w:qFormat/>
    <w:rsid w:val="002E35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E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8159A"/>
    <w:pPr>
      <w:widowControl/>
      <w:autoSpaceDE/>
      <w:autoSpaceDN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8159A"/>
    <w:rPr>
      <w:rFonts w:ascii="Calibri" w:hAnsi="Calibri"/>
      <w:szCs w:val="2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321D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15C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1C4E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4E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4ED4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4E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4ED4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B51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35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563B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8C571D"/>
  </w:style>
  <w:style w:type="paragraph" w:styleId="Pidipagina">
    <w:name w:val="footer"/>
    <w:basedOn w:val="Normale"/>
    <w:link w:val="PidipaginaCarattere"/>
    <w:uiPriority w:val="99"/>
    <w:unhideWhenUsed/>
    <w:rsid w:val="008C571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7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71D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71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8C571D"/>
    <w:pPr>
      <w:widowControl/>
      <w:ind w:left="708" w:firstLine="708"/>
      <w:jc w:val="center"/>
    </w:pPr>
    <w:rPr>
      <w:b/>
      <w:bCs/>
      <w:i/>
      <w:iCs/>
      <w:sz w:val="20"/>
      <w:szCs w:val="20"/>
      <w:lang w:bidi="ar-SA"/>
    </w:rPr>
  </w:style>
  <w:style w:type="paragraph" w:styleId="Corpotesto">
    <w:name w:val="Body Text"/>
    <w:basedOn w:val="Normale"/>
    <w:link w:val="CorpotestoCarattere"/>
    <w:uiPriority w:val="1"/>
    <w:qFormat/>
    <w:rsid w:val="003E4AB5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AB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E4AB5"/>
    <w:rPr>
      <w:color w:val="0000FF" w:themeColor="hyperlink"/>
      <w:u w:val="single"/>
    </w:rPr>
  </w:style>
  <w:style w:type="paragraph" w:customStyle="1" w:styleId="Default">
    <w:name w:val="Default"/>
    <w:rsid w:val="00EA4E3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63B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600058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E3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  <w:style w:type="paragraph" w:styleId="Paragrafoelenco">
    <w:name w:val="List Paragraph"/>
    <w:basedOn w:val="Normale"/>
    <w:uiPriority w:val="34"/>
    <w:qFormat/>
    <w:rsid w:val="002E35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2E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8159A"/>
    <w:pPr>
      <w:widowControl/>
      <w:autoSpaceDE/>
      <w:autoSpaceDN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8159A"/>
    <w:rPr>
      <w:rFonts w:ascii="Calibri" w:hAnsi="Calibri"/>
      <w:szCs w:val="21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321D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15C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1C4ED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4ED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4ED4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4E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4ED4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2020-01-29T09:47:00Z</cp:lastPrinted>
  <dcterms:created xsi:type="dcterms:W3CDTF">2022-10-20T10:55:00Z</dcterms:created>
  <dcterms:modified xsi:type="dcterms:W3CDTF">2022-10-20T10:55:00Z</dcterms:modified>
</cp:coreProperties>
</file>