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5DD" w:rsidRDefault="00AC25DD" w:rsidP="00AC25DD">
      <w:pPr>
        <w:spacing w:after="15" w:line="259" w:lineRule="auto"/>
        <w:ind w:right="62"/>
        <w:jc w:val="center"/>
        <w:rPr>
          <w:b/>
        </w:rPr>
      </w:pPr>
      <w:r>
        <w:rPr>
          <w:b/>
        </w:rPr>
        <w:t xml:space="preserve">IL DIRIGENTE </w:t>
      </w:r>
      <w:r w:rsidRPr="007E15A8">
        <w:rPr>
          <w:b/>
        </w:rPr>
        <w:t>DELL’UFFICIO IV</w:t>
      </w:r>
      <w:r>
        <w:rPr>
          <w:b/>
        </w:rPr>
        <w:t>°</w:t>
      </w:r>
      <w:r w:rsidRPr="007E15A8">
        <w:rPr>
          <w:b/>
        </w:rPr>
        <w:t xml:space="preserve"> DELLA DIREZIONE GENERALE PER IL COORDINAMENTO, LA PROMOZIONE E LA VALORIZZAZIONE DELLA RICERCA</w:t>
      </w:r>
    </w:p>
    <w:p w:rsidR="00AC25DD" w:rsidRDefault="00AC25DD" w:rsidP="00AC25DD">
      <w:pPr>
        <w:ind w:left="0" w:right="51" w:firstLine="0"/>
        <w:jc w:val="center"/>
        <w:rPr>
          <w:b/>
        </w:rPr>
      </w:pPr>
      <w:r>
        <w:rPr>
          <w:b/>
        </w:rPr>
        <w:t>NELLA SUA QUALITA’ DI</w:t>
      </w:r>
    </w:p>
    <w:p w:rsidR="00AC25DD" w:rsidRDefault="00AC25DD" w:rsidP="00AC25DD">
      <w:pPr>
        <w:ind w:left="0" w:right="51" w:firstLine="0"/>
        <w:jc w:val="center"/>
        <w:rPr>
          <w:b/>
          <w:strike/>
        </w:rPr>
      </w:pPr>
      <w:r w:rsidRPr="007E15A8">
        <w:rPr>
          <w:b/>
        </w:rPr>
        <w:t>AUTORITÀ DI GESTIONE</w:t>
      </w:r>
      <w:r>
        <w:rPr>
          <w:b/>
        </w:rPr>
        <w:t xml:space="preserve"> </w:t>
      </w:r>
      <w:r w:rsidRPr="007E15A8">
        <w:rPr>
          <w:b/>
        </w:rPr>
        <w:t>DEL PON RICERCA E INNOVAZIONE 2014</w:t>
      </w:r>
      <w:r>
        <w:rPr>
          <w:b/>
        </w:rPr>
        <w:t xml:space="preserve"> </w:t>
      </w:r>
      <w:r w:rsidRPr="007E15A8">
        <w:rPr>
          <w:b/>
        </w:rPr>
        <w:t>-2020</w:t>
      </w:r>
      <w:r w:rsidR="002B44C0">
        <w:rPr>
          <w:b/>
        </w:rPr>
        <w:t xml:space="preserve"> </w:t>
      </w:r>
    </w:p>
    <w:p w:rsidR="00494620" w:rsidRPr="00494620" w:rsidRDefault="00494620" w:rsidP="00494620">
      <w:pPr>
        <w:ind w:left="0" w:right="51" w:firstLine="0"/>
        <w:rPr>
          <w:b/>
          <w:color w:val="C00000"/>
        </w:rPr>
      </w:pPr>
    </w:p>
    <w:p w:rsidR="00524367" w:rsidRPr="000A1F6A" w:rsidRDefault="00FB31EA" w:rsidP="000A1F6A">
      <w:pPr>
        <w:spacing w:after="0" w:line="240" w:lineRule="atLeast"/>
      </w:pPr>
      <w:r w:rsidRPr="000A1F6A">
        <w:rPr>
          <w:b/>
        </w:rPr>
        <w:t>VISTA</w:t>
      </w:r>
      <w:r w:rsidRPr="000A1F6A">
        <w:t xml:space="preserve"> la Legge del 7 agosto 1990 n. 241 e </w:t>
      </w:r>
      <w:proofErr w:type="spellStart"/>
      <w:r w:rsidRPr="000A1F6A">
        <w:t>ss.mm.ii</w:t>
      </w:r>
      <w:proofErr w:type="spellEnd"/>
      <w:r w:rsidRPr="000A1F6A">
        <w:t xml:space="preserve">;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 xml:space="preserve">VISTO </w:t>
      </w:r>
      <w:r w:rsidRPr="000A1F6A">
        <w:t xml:space="preserve">il Decreto Legislativo 30 marzo 2001, n. 165, e successive modificazioni ed integrazioni contenente norme generali sull’ordinamento del lavoro alle dipendenze delle amministrazioni pubbliche e sugli incarichi di collaborazione affidati a personale esterno all’amministrazione;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VISTO</w:t>
      </w:r>
      <w:r w:rsidRPr="000A1F6A">
        <w:t xml:space="preserve"> il D.P.R. del 14 gennaio 2009, n. 16, "Regolamento recante la riorganizzazione degli Uffici di diretta Collaborazione presso il MIUR" e il D.P.R. del 20 gennaio 2009, n. 17, "Regolamento recante disposizioni di riorganizzazione del MIUR";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 xml:space="preserve">VISTO </w:t>
      </w:r>
      <w:r w:rsidRPr="000A1F6A">
        <w:t xml:space="preserve">il D.P.C.M. dell’11 febbraio 2014, n. 98, “Regolamento di Organizzazione del Ministero dell’Istruzione, dell’Università e della ricerca”, entrato in vigore il 29 luglio 2014;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 xml:space="preserve">VISTO </w:t>
      </w:r>
      <w:r w:rsidRPr="000A1F6A">
        <w:t xml:space="preserve">il D.M. del 26 settembre 2014 n. 753, “Individuazione degli uffici di livello dirigenziale non generale dell'Amministrazione centrale del Ministero dell'Istruzione, dell’Università e della Ricerca” con cui è stata disposta l’articolazione degli uffici di livello dirigenziale non generale dell’Amministrazione Centrale;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 xml:space="preserve">CONSIDERATO </w:t>
      </w:r>
      <w:r w:rsidRPr="000A1F6A">
        <w:t xml:space="preserve">che, a seguito del richiamato D.M. di riorganizzazione degli Uffici, l’Ufficio IV della Direzione Generale per il Coordinamento, la Promozione e la Valorizzazione della Ricerca è l’Ufficio preposto alla gestione dei Programmi operativi comunitari finanziati dai Fondi strutturali dell’Unione europea e programmi e interventi relativi al Fondo Aree Sottoutilizzate (FAS); </w:t>
      </w:r>
    </w:p>
    <w:p w:rsidR="00524367" w:rsidRPr="000A1F6A" w:rsidRDefault="00FB31EA" w:rsidP="000A1F6A">
      <w:pPr>
        <w:spacing w:after="0" w:line="240" w:lineRule="atLeast"/>
      </w:pPr>
      <w:r w:rsidRPr="000A1F6A">
        <w:t xml:space="preserve"> </w:t>
      </w:r>
    </w:p>
    <w:p w:rsidR="00524367" w:rsidRPr="000A1F6A" w:rsidRDefault="00FB31EA" w:rsidP="000A1F6A">
      <w:pPr>
        <w:spacing w:after="0" w:line="240" w:lineRule="atLeast"/>
      </w:pPr>
      <w:r w:rsidRPr="000A1F6A">
        <w:rPr>
          <w:b/>
        </w:rPr>
        <w:t xml:space="preserve">VISTO </w:t>
      </w:r>
      <w:r w:rsidRPr="000A1F6A">
        <w:t xml:space="preserve">il Decreto Direttoriale </w:t>
      </w:r>
      <w:proofErr w:type="spellStart"/>
      <w:r w:rsidRPr="000A1F6A">
        <w:t>prot</w:t>
      </w:r>
      <w:proofErr w:type="spellEnd"/>
      <w:r w:rsidRPr="000A1F6A">
        <w:t xml:space="preserve">. n. 933 del 30 aprile 2015 con cui la Dott.ssa Anna Maria Fontana è stata nominata Dirigente dell’Ufficio IV della Direzione Generale per il Coordinamento, la Promozione e la Valorizzazione della Ricerca; </w:t>
      </w:r>
    </w:p>
    <w:p w:rsidR="00524367" w:rsidRPr="000A1F6A" w:rsidRDefault="00FB31EA" w:rsidP="000A1F6A">
      <w:pPr>
        <w:spacing w:after="0" w:line="240" w:lineRule="atLeast"/>
      </w:pPr>
      <w:r w:rsidRPr="000A1F6A">
        <w:t xml:space="preserve"> </w:t>
      </w:r>
    </w:p>
    <w:p w:rsidR="00657608" w:rsidRPr="000A1F6A" w:rsidRDefault="00657608" w:rsidP="000A1F6A">
      <w:pPr>
        <w:spacing w:after="0" w:line="240" w:lineRule="atLeast"/>
      </w:pPr>
      <w:r w:rsidRPr="000A1F6A">
        <w:rPr>
          <w:b/>
          <w:bCs/>
        </w:rPr>
        <w:t xml:space="preserve">VISTA </w:t>
      </w:r>
      <w:r w:rsidRPr="000A1F6A">
        <w:t>la Delibera CIPE n. 44/2016 (Gazzetta Ufficiale della Repubblica Italiana serie generale n. 36 del 13/2/2017) di approvazione del «Programma operativo complementare di azione e coesione Ricerca e Innovazione 2014-2020» e di assegnazione di risorse per un importo complessivo di 412 milioni</w:t>
      </w:r>
      <w:r w:rsidR="0069585E" w:rsidRPr="000A1F6A">
        <w:t xml:space="preserve"> di Euro</w:t>
      </w:r>
      <w:r w:rsidRPr="000A1F6A">
        <w:t>;</w:t>
      </w:r>
    </w:p>
    <w:p w:rsidR="0069585E" w:rsidRPr="000A1F6A" w:rsidRDefault="0069585E" w:rsidP="000A1F6A">
      <w:pPr>
        <w:spacing w:after="0" w:line="240" w:lineRule="atLeast"/>
        <w:rPr>
          <w:b/>
          <w:bCs/>
        </w:rPr>
      </w:pPr>
    </w:p>
    <w:p w:rsidR="0069585E" w:rsidRPr="000A1F6A" w:rsidRDefault="0069585E" w:rsidP="000A1F6A">
      <w:pPr>
        <w:spacing w:after="0" w:line="240" w:lineRule="atLeast"/>
        <w:rPr>
          <w:rFonts w:eastAsiaTheme="minorEastAsia"/>
          <w:color w:val="auto"/>
        </w:rPr>
      </w:pPr>
      <w:r w:rsidRPr="000A1F6A">
        <w:rPr>
          <w:b/>
          <w:bCs/>
        </w:rPr>
        <w:t xml:space="preserve">VISTA </w:t>
      </w:r>
      <w:r w:rsidRPr="000A1F6A">
        <w:t xml:space="preserve">la suddetta Delibera CIPE n. 44/2016 (Gazzetta Ufficiale della Repubblica Italiana serie generale n. 36 del 13/2/2017) di approvazione del «Programma operativo complementare di azione e coesione Ricerca e Innovazione 2014-2020» che </w:t>
      </w:r>
      <w:r w:rsidR="00221111" w:rsidRPr="000A1F6A">
        <w:t xml:space="preserve">all’art. 1, ultimo capoverso, </w:t>
      </w:r>
      <w:r w:rsidR="00E955DB" w:rsidRPr="000A1F6A">
        <w:t>rubricato “</w:t>
      </w:r>
      <w:r w:rsidR="00E955DB" w:rsidRPr="000A1F6A">
        <w:rPr>
          <w:rFonts w:eastAsiaTheme="minorEastAsia"/>
          <w:i/>
          <w:iCs/>
          <w:color w:val="auto"/>
        </w:rPr>
        <w:t xml:space="preserve">Approvazione del «Programma operativo complementare di azione e coesione Ricerca e </w:t>
      </w:r>
      <w:r w:rsidR="00E955DB" w:rsidRPr="000A1F6A">
        <w:rPr>
          <w:rFonts w:eastAsiaTheme="minorEastAsia"/>
          <w:i/>
          <w:iCs/>
          <w:color w:val="auto"/>
        </w:rPr>
        <w:lastRenderedPageBreak/>
        <w:t xml:space="preserve">Innovazione 2014-2020» e assegnazione di risorse </w:t>
      </w:r>
      <w:r w:rsidR="00221111" w:rsidRPr="000A1F6A">
        <w:t>prevede che “</w:t>
      </w:r>
      <w:r w:rsidR="00221111" w:rsidRPr="000A1F6A">
        <w:rPr>
          <w:rFonts w:eastAsiaTheme="minorEastAsia"/>
          <w:color w:val="auto"/>
        </w:rPr>
        <w:t>L’ammontare delle risorse previste per l’assistenza tecnica costituisce limite di spesa; l’amministrazione titolare del programma avrà cura di assicurare che l’utilizzo delle risorse sia contenuto entro i limiti strettamente necessari alle esigenze funzionali alla gestione del programma</w:t>
      </w:r>
      <w:r w:rsidR="00E955DB" w:rsidRPr="000A1F6A">
        <w:rPr>
          <w:rFonts w:eastAsiaTheme="minorEastAsia"/>
          <w:color w:val="auto"/>
        </w:rPr>
        <w:t xml:space="preserve"> nonché </w:t>
      </w:r>
      <w:r w:rsidRPr="000A1F6A">
        <w:t>all’art. 3, rubricato “</w:t>
      </w:r>
      <w:r w:rsidRPr="000A1F6A">
        <w:rPr>
          <w:rFonts w:eastAsiaTheme="minorEastAsia"/>
          <w:i/>
          <w:iCs/>
          <w:color w:val="auto"/>
        </w:rPr>
        <w:t>Disposizioni attuative e monitoraggio</w:t>
      </w:r>
      <w:r w:rsidR="00221111" w:rsidRPr="000A1F6A">
        <w:rPr>
          <w:rFonts w:eastAsiaTheme="minorEastAsia"/>
          <w:i/>
          <w:iCs/>
          <w:color w:val="auto"/>
        </w:rPr>
        <w:t xml:space="preserve">” </w:t>
      </w:r>
      <w:r w:rsidR="00221111" w:rsidRPr="000A1F6A">
        <w:rPr>
          <w:rFonts w:eastAsiaTheme="minorEastAsia"/>
          <w:iCs/>
          <w:color w:val="auto"/>
        </w:rPr>
        <w:t>prevede che “</w:t>
      </w:r>
      <w:r w:rsidR="006C76ED" w:rsidRPr="000A1F6A">
        <w:rPr>
          <w:rFonts w:eastAsiaTheme="minorEastAsia"/>
          <w:iCs/>
          <w:color w:val="auto"/>
        </w:rPr>
        <w:t>A</w:t>
      </w:r>
      <w:r w:rsidRPr="000A1F6A">
        <w:rPr>
          <w:rFonts w:eastAsiaTheme="minorEastAsia"/>
          <w:color w:val="auto"/>
        </w:rPr>
        <w:t>ll’attuazione del programma provvede il Ministero dell’Istruzione, università e ricerca, secondo le modalità</w:t>
      </w:r>
      <w:r w:rsidR="00027A71" w:rsidRPr="000A1F6A">
        <w:rPr>
          <w:rFonts w:eastAsiaTheme="minorEastAsia"/>
          <w:color w:val="auto"/>
        </w:rPr>
        <w:t xml:space="preserve"> </w:t>
      </w:r>
      <w:r w:rsidRPr="000A1F6A">
        <w:rPr>
          <w:rFonts w:eastAsiaTheme="minorEastAsia"/>
          <w:color w:val="auto"/>
        </w:rPr>
        <w:t>previste nella sezione 4 del programma stesso («</w:t>
      </w:r>
      <w:proofErr w:type="spellStart"/>
      <w:r w:rsidRPr="000A1F6A">
        <w:rPr>
          <w:rFonts w:eastAsiaTheme="minorEastAsia"/>
          <w:color w:val="auto"/>
        </w:rPr>
        <w:t>Governance</w:t>
      </w:r>
      <w:proofErr w:type="spellEnd"/>
      <w:r w:rsidRPr="000A1F6A">
        <w:rPr>
          <w:rFonts w:eastAsiaTheme="minorEastAsia"/>
          <w:color w:val="auto"/>
        </w:rPr>
        <w:t xml:space="preserve"> e modalità di attuazione del piano»)</w:t>
      </w:r>
      <w:r w:rsidR="00221111" w:rsidRPr="000A1F6A">
        <w:rPr>
          <w:rFonts w:eastAsiaTheme="minorEastAsia"/>
          <w:color w:val="auto"/>
        </w:rPr>
        <w:t>;</w:t>
      </w:r>
      <w:r w:rsidR="001E729E" w:rsidRPr="000A1F6A">
        <w:rPr>
          <w:rFonts w:eastAsiaTheme="minorEastAsia"/>
          <w:color w:val="auto"/>
        </w:rPr>
        <w:t xml:space="preserve"> In ordine alle specifiche modalità attuative, è previsto che il principio di partenariato, il monitoraggio e il sistema di gestione e controllo facciano riferimento alle modalità attuative previste dal PON «Ricerca e Innovazione</w:t>
      </w:r>
      <w:r w:rsidR="006C76ED" w:rsidRPr="000A1F6A">
        <w:rPr>
          <w:rFonts w:eastAsiaTheme="minorEastAsia"/>
          <w:color w:val="auto"/>
        </w:rPr>
        <w:t>»;</w:t>
      </w:r>
    </w:p>
    <w:p w:rsidR="008028E4" w:rsidRPr="000A1F6A" w:rsidRDefault="008028E4" w:rsidP="000A1F6A">
      <w:pPr>
        <w:spacing w:after="0" w:line="240" w:lineRule="atLeast"/>
        <w:rPr>
          <w:b/>
          <w:bCs/>
        </w:rPr>
      </w:pPr>
    </w:p>
    <w:p w:rsidR="006C76ED" w:rsidRPr="000A1F6A" w:rsidRDefault="006C76ED" w:rsidP="000A1F6A">
      <w:pPr>
        <w:spacing w:after="0" w:line="240" w:lineRule="atLeast"/>
        <w:rPr>
          <w:rFonts w:eastAsiaTheme="minorEastAsia"/>
          <w:color w:val="auto"/>
        </w:rPr>
      </w:pPr>
      <w:r w:rsidRPr="000A1F6A">
        <w:rPr>
          <w:b/>
          <w:bCs/>
        </w:rPr>
        <w:t xml:space="preserve">VISTA </w:t>
      </w:r>
      <w:r w:rsidRPr="000A1F6A">
        <w:t>la suddetta Delibera CIPE n. 44/2016 (Gazzetta Ufficiale della Repubblica Italiana serie generale n. 36 del 13/2/2017) di approvazione del «Programma operativo complementare di azione e coesione Ricerca e Innovazione 2014-2020» che all’art. 3, rubricato “</w:t>
      </w:r>
      <w:r w:rsidRPr="000A1F6A">
        <w:rPr>
          <w:rFonts w:eastAsiaTheme="minorEastAsia"/>
          <w:i/>
          <w:iCs/>
          <w:color w:val="auto"/>
        </w:rPr>
        <w:t xml:space="preserve">Disposizioni attuative e monitoraggio” </w:t>
      </w:r>
      <w:r w:rsidRPr="000A1F6A">
        <w:rPr>
          <w:rFonts w:eastAsiaTheme="minorEastAsia"/>
          <w:iCs/>
          <w:color w:val="auto"/>
        </w:rPr>
        <w:t>prevede che “</w:t>
      </w:r>
      <w:r w:rsidRPr="000A1F6A">
        <w:rPr>
          <w:rFonts w:eastAsiaTheme="minorEastAsia"/>
          <w:color w:val="auto"/>
        </w:rPr>
        <w:t>L’amministrazione responsabile del programma è tenuta a garantire:</w:t>
      </w:r>
    </w:p>
    <w:p w:rsidR="006C76ED" w:rsidRPr="000A1F6A" w:rsidRDefault="006C76ED" w:rsidP="000A1F6A">
      <w:pPr>
        <w:spacing w:after="0" w:line="240" w:lineRule="atLeast"/>
        <w:rPr>
          <w:rFonts w:eastAsiaTheme="minorEastAsia"/>
          <w:color w:val="auto"/>
        </w:rPr>
      </w:pPr>
      <w:r w:rsidRPr="000A1F6A">
        <w:rPr>
          <w:rFonts w:eastAsiaTheme="minorEastAsia"/>
          <w:color w:val="auto"/>
        </w:rPr>
        <w:t>- che le operazioni destinate a beneficiare di un finanziamento siano selezionate coerentemente alle norme comunitarie e nazionali applicabili per l’intero periodo di attuazione;</w:t>
      </w:r>
    </w:p>
    <w:p w:rsidR="006C76ED" w:rsidRPr="000A1F6A" w:rsidRDefault="006C76ED" w:rsidP="000A1F6A">
      <w:pPr>
        <w:spacing w:after="0" w:line="240" w:lineRule="atLeast"/>
        <w:rPr>
          <w:rFonts w:eastAsiaTheme="minorEastAsia"/>
          <w:color w:val="auto"/>
        </w:rPr>
      </w:pPr>
      <w:r w:rsidRPr="000A1F6A">
        <w:rPr>
          <w:rFonts w:eastAsiaTheme="minorEastAsia"/>
          <w:color w:val="auto"/>
        </w:rPr>
        <w:t>- la messa in opera di un sistema di gestione e controllo efficace ed idoneo a garantire il corretto utilizzo delle risorse finanziarie attribuite nell’ambito del PAC;</w:t>
      </w:r>
    </w:p>
    <w:p w:rsidR="006C76ED" w:rsidRPr="000A1F6A" w:rsidRDefault="006C76ED" w:rsidP="000A1F6A">
      <w:pPr>
        <w:spacing w:after="0" w:line="240" w:lineRule="atLeast"/>
        <w:rPr>
          <w:b/>
          <w:bCs/>
        </w:rPr>
      </w:pPr>
      <w:r w:rsidRPr="000A1F6A">
        <w:rPr>
          <w:rFonts w:eastAsiaTheme="minorEastAsia"/>
          <w:color w:val="auto"/>
        </w:rPr>
        <w:t>- il corretto caricamento dei dati relativi all’avanzamento procedurale, finanziario e fisico delle iniziative finanziate con risorse a valere sul PAC, avvalendosi a tal fine delle funzionalità dei sistemi informativi già in uso per il monitoraggio dei Programmi opera</w:t>
      </w:r>
      <w:r w:rsidR="000A5D81">
        <w:rPr>
          <w:rFonts w:eastAsiaTheme="minorEastAsia"/>
          <w:color w:val="auto"/>
        </w:rPr>
        <w:t>tivi finanziati con i fondi SIE;</w:t>
      </w:r>
    </w:p>
    <w:p w:rsidR="0069585E" w:rsidRPr="000A1F6A" w:rsidRDefault="0069585E" w:rsidP="000A1F6A">
      <w:pPr>
        <w:spacing w:after="0" w:line="240" w:lineRule="atLeast"/>
        <w:rPr>
          <w:b/>
          <w:bCs/>
        </w:rPr>
      </w:pPr>
    </w:p>
    <w:p w:rsidR="00657608" w:rsidRPr="000A1F6A" w:rsidRDefault="00657608" w:rsidP="000A1F6A">
      <w:pPr>
        <w:spacing w:after="0" w:line="240" w:lineRule="atLeast"/>
      </w:pPr>
      <w:r w:rsidRPr="000A1F6A">
        <w:rPr>
          <w:b/>
          <w:bCs/>
        </w:rPr>
        <w:t xml:space="preserve">CONSIDERATO </w:t>
      </w:r>
      <w:r w:rsidRPr="000A1F6A">
        <w:t>che con nota del 9773 del 26 maggio 2017, ai sensi della citata delibera CIPE n. 44/2016 - punto 2, si è provveduto a richiedere Ministero dell’Economia e delle Finanze - Dipartimento della Ragioneria Generale dello Stato - Ispettorato Generale per i Rapporti Finanziari con l'Unione Europea – IGRUE l’erogazione iniziale pari al 20 per cento delle risorse complessive per un importo di € 82.400.000,00 (Fondo di rotazione di cui alla legge n. 183/1987), in favore “del Programma operativo complementare al PON Ricerca e Innovazione 2014/2020”, gestito sulla Contabilità Speciale n. 5944, per la cui gestione è stato creato, sul sistema informativo IGRUE, il seguente codice di programma: “2017POCRICERCA1”;</w:t>
      </w:r>
    </w:p>
    <w:p w:rsidR="00657608" w:rsidRPr="000A1F6A" w:rsidRDefault="00657608" w:rsidP="000A1F6A">
      <w:pPr>
        <w:spacing w:after="0" w:line="240" w:lineRule="atLeast"/>
        <w:rPr>
          <w:b/>
          <w:bCs/>
        </w:rPr>
      </w:pPr>
    </w:p>
    <w:p w:rsidR="00657608" w:rsidRPr="000A1F6A" w:rsidRDefault="00657608" w:rsidP="000A1F6A">
      <w:pPr>
        <w:spacing w:after="0" w:line="240" w:lineRule="atLeast"/>
      </w:pPr>
      <w:r w:rsidRPr="000A1F6A">
        <w:rPr>
          <w:b/>
          <w:bCs/>
        </w:rPr>
        <w:t xml:space="preserve">ACCERTATO </w:t>
      </w:r>
      <w:r w:rsidRPr="000A1F6A">
        <w:t>che sul sistema informativo IGRUE</w:t>
      </w:r>
      <w:r w:rsidR="00841BCC" w:rsidRPr="000A1F6A">
        <w:t xml:space="preserve"> </w:t>
      </w:r>
      <w:r w:rsidRPr="000A1F6A">
        <w:t>- codice di programma: “2017POCRICERCA1”</w:t>
      </w:r>
      <w:r w:rsidR="000A5D81">
        <w:t xml:space="preserve"> </w:t>
      </w:r>
      <w:r w:rsidRPr="000A1F6A">
        <w:t>risulta accreditata la somma di € 82.400.000,00 (Fondo di rotazione di cui alla legge n. 183/1987) di cui alla richiesta in parola;</w:t>
      </w:r>
    </w:p>
    <w:p w:rsidR="001A1AE8" w:rsidRPr="000A1F6A" w:rsidRDefault="001A1AE8" w:rsidP="000A1F6A">
      <w:pPr>
        <w:spacing w:after="0" w:line="240" w:lineRule="atLeast"/>
        <w:rPr>
          <w:b/>
          <w:i/>
          <w:color w:val="C00000"/>
          <w:u w:val="single"/>
        </w:rPr>
      </w:pPr>
    </w:p>
    <w:p w:rsidR="00B330C1" w:rsidRPr="000A1F6A" w:rsidRDefault="00B330C1" w:rsidP="000A1F6A">
      <w:pPr>
        <w:spacing w:after="0" w:line="240" w:lineRule="atLeast"/>
      </w:pPr>
      <w:r w:rsidRPr="000A1F6A">
        <w:rPr>
          <w:b/>
        </w:rPr>
        <w:t xml:space="preserve">VISTO </w:t>
      </w:r>
      <w:r w:rsidRPr="000A1F6A">
        <w:t xml:space="preserve">il </w:t>
      </w:r>
      <w:r w:rsidRPr="000A1F6A">
        <w:rPr>
          <w:bCs/>
        </w:rPr>
        <w:t>Decreto Direttoriale 5 febbraio 2002 n. 60/ SCAGIS - Regolamento per l'acquisizione di beni e servizi in economia -</w:t>
      </w:r>
      <w:r w:rsidRPr="000A1F6A">
        <w:t xml:space="preserve"> al cui art. 4 sono individuate le tipologie di beni e servizi per cui è ammesso il ricorso alle procedure in economia;</w:t>
      </w:r>
    </w:p>
    <w:p w:rsidR="00494620" w:rsidRPr="000A1F6A" w:rsidRDefault="00494620" w:rsidP="000A1F6A">
      <w:pPr>
        <w:spacing w:after="0" w:line="240" w:lineRule="atLeast"/>
        <w:rPr>
          <w:b/>
        </w:rPr>
      </w:pPr>
    </w:p>
    <w:p w:rsidR="00B330C1" w:rsidRPr="000A1F6A" w:rsidRDefault="00B330C1" w:rsidP="000A1F6A">
      <w:pPr>
        <w:spacing w:after="0" w:line="240" w:lineRule="atLeast"/>
      </w:pPr>
      <w:r w:rsidRPr="000A1F6A">
        <w:rPr>
          <w:b/>
        </w:rPr>
        <w:lastRenderedPageBreak/>
        <w:t>VISTO</w:t>
      </w:r>
      <w:r w:rsidRPr="000A1F6A">
        <w:t xml:space="preserve"> l’art. 7, comma 2, del D.L. 7 maggio 2012, n. 52 convertito con modifiche dalla Legge di conversione del 6 luglio 2012, n. 94, che stabilisce l’obbligo per le Pubbliche Amministrazioni di fare ricorso al Mercato Elettronico della P.A. per l’acquisto di beni e servizi;</w:t>
      </w:r>
    </w:p>
    <w:p w:rsidR="00494620" w:rsidRPr="000A1F6A" w:rsidRDefault="00494620" w:rsidP="000A1F6A">
      <w:pPr>
        <w:spacing w:after="0" w:line="240" w:lineRule="atLeast"/>
        <w:rPr>
          <w:b/>
        </w:rPr>
      </w:pPr>
    </w:p>
    <w:p w:rsidR="00FC0B24" w:rsidRPr="000A1F6A" w:rsidRDefault="00D563C2" w:rsidP="000A1F6A">
      <w:pPr>
        <w:spacing w:after="0" w:line="240" w:lineRule="atLeast"/>
      </w:pPr>
      <w:r w:rsidRPr="000A1F6A">
        <w:rPr>
          <w:b/>
        </w:rPr>
        <w:t xml:space="preserve">VISTO </w:t>
      </w:r>
      <w:r w:rsidRPr="000A1F6A">
        <w:t>il D.lgs. 50 del 18 aprile 2016 ed in particolare l’art. 31, comm</w:t>
      </w:r>
      <w:r w:rsidR="00FC0B24" w:rsidRPr="000A1F6A">
        <w:t xml:space="preserve">i 1 e </w:t>
      </w:r>
      <w:r w:rsidRPr="000A1F6A">
        <w:t>3, nella parte in cui è previsto che “</w:t>
      </w:r>
      <w:r w:rsidR="00FC0B24" w:rsidRPr="000A1F6A">
        <w:rPr>
          <w:i/>
        </w:rPr>
        <w:t>Per ogni singola procedura per l’affidamento di un appalto o di una concessione le stazioni appaltanti individuano nell’atto di adozione o di aggiornamento dei programmi di cui all’</w:t>
      </w:r>
      <w:hyperlink r:id="rId9" w:anchor="021" w:history="1">
        <w:r w:rsidR="00FC0B24" w:rsidRPr="000A1F6A">
          <w:rPr>
            <w:rStyle w:val="Collegamentoipertestuale"/>
            <w:i/>
            <w:color w:val="auto"/>
            <w:szCs w:val="24"/>
            <w:u w:val="none"/>
          </w:rPr>
          <w:t>articolo 21, comma 1</w:t>
        </w:r>
      </w:hyperlink>
      <w:r w:rsidR="00FC0B24" w:rsidRPr="000A1F6A">
        <w:rPr>
          <w:i/>
        </w:rPr>
        <w:t>, ovvero nell’atto di avvio relativo ad ogni singolo intervento, per le esigenze non incluse in programmazione, un responsabile unico del procedimento (RUP) per le fasi della programmazione, della progettazione, dell'affidamento, dell'esecuzione previste dal codice</w:t>
      </w:r>
      <w:r w:rsidR="000A5D81">
        <w:t>”;</w:t>
      </w:r>
    </w:p>
    <w:p w:rsidR="008028E4" w:rsidRPr="000A1F6A" w:rsidRDefault="008028E4" w:rsidP="000A1F6A">
      <w:pPr>
        <w:spacing w:after="0" w:line="240" w:lineRule="atLeast"/>
        <w:rPr>
          <w:b/>
        </w:rPr>
      </w:pPr>
    </w:p>
    <w:p w:rsidR="00841BCC" w:rsidRPr="000A1F6A" w:rsidRDefault="00841BCC" w:rsidP="000A1F6A">
      <w:pPr>
        <w:spacing w:after="0" w:line="240" w:lineRule="atLeast"/>
        <w:rPr>
          <w:color w:val="232323"/>
          <w:shd w:val="clear" w:color="auto" w:fill="FFFFFF"/>
        </w:rPr>
      </w:pPr>
      <w:r w:rsidRPr="000A1F6A">
        <w:rPr>
          <w:b/>
        </w:rPr>
        <w:t xml:space="preserve">VISTO </w:t>
      </w:r>
      <w:r w:rsidRPr="000A1F6A">
        <w:t>l</w:t>
      </w:r>
      <w:r w:rsidRPr="000A1F6A">
        <w:rPr>
          <w:color w:val="232323"/>
          <w:shd w:val="clear" w:color="auto" w:fill="FFFFFF"/>
        </w:rPr>
        <w:t>'art. 5, comma 1, L. n. 241/1990 che dispone che il dirigente di ciascuna unità organizzativa provvede ad assegnare a sé o ad altro dipendente addetto all'unità la responsabilità dell'istruttoria e di ogni altro adempimento inerente il singolo procedimento, nonché, eventualmente, dell'adozione del provvedimento finale;</w:t>
      </w:r>
    </w:p>
    <w:p w:rsidR="001163AF" w:rsidRPr="000A1F6A" w:rsidRDefault="001163AF" w:rsidP="000A1F6A">
      <w:pPr>
        <w:spacing w:after="0" w:line="240" w:lineRule="atLeast"/>
        <w:rPr>
          <w:b/>
          <w:color w:val="232323"/>
          <w:shd w:val="clear" w:color="auto" w:fill="FFFFFF"/>
        </w:rPr>
      </w:pPr>
    </w:p>
    <w:p w:rsidR="00FC0B24" w:rsidRPr="000A1F6A" w:rsidRDefault="00841BCC" w:rsidP="000A1F6A">
      <w:pPr>
        <w:spacing w:after="0" w:line="240" w:lineRule="atLeast"/>
      </w:pPr>
      <w:r w:rsidRPr="000A1F6A">
        <w:rPr>
          <w:b/>
          <w:color w:val="232323"/>
          <w:shd w:val="clear" w:color="auto" w:fill="FFFFFF"/>
        </w:rPr>
        <w:t>CONSIDERATO</w:t>
      </w:r>
      <w:r w:rsidR="00E57613" w:rsidRPr="000A1F6A">
        <w:rPr>
          <w:color w:val="232323"/>
          <w:shd w:val="clear" w:color="auto" w:fill="FFFFFF"/>
        </w:rPr>
        <w:t xml:space="preserve"> che </w:t>
      </w:r>
      <w:r w:rsidRPr="000A1F6A">
        <w:rPr>
          <w:color w:val="232323"/>
          <w:shd w:val="clear" w:color="auto" w:fill="FFFFFF"/>
        </w:rPr>
        <w:t xml:space="preserve">nella presente procedura </w:t>
      </w:r>
      <w:r w:rsidR="00FC0B24" w:rsidRPr="000A1F6A">
        <w:t xml:space="preserve">il RUP coincide necessariamente con il </w:t>
      </w:r>
      <w:r w:rsidR="001163AF" w:rsidRPr="000A1F6A">
        <w:t xml:space="preserve">Dirigente dell’Ufficio IV° della Direzione Generale per il Coordinamento, la Promozione e la Valorizzazione della Ricerca </w:t>
      </w:r>
      <w:r w:rsidR="00FC0B24" w:rsidRPr="000A1F6A">
        <w:t xml:space="preserve">del MIUR </w:t>
      </w:r>
      <w:r w:rsidRPr="000A1F6A">
        <w:t xml:space="preserve">designata alla gestione del «Programma operativo complementare di azione e coesione Ricerca e Innovazione 2014-2020» </w:t>
      </w:r>
      <w:r w:rsidR="00FC0B24" w:rsidRPr="000A1F6A">
        <w:t>che è la Dott.ssa A</w:t>
      </w:r>
      <w:r w:rsidR="005471B6" w:rsidRPr="000A1F6A">
        <w:t xml:space="preserve">nna </w:t>
      </w:r>
      <w:r w:rsidR="00FC0B24" w:rsidRPr="000A1F6A">
        <w:t>M</w:t>
      </w:r>
      <w:r w:rsidR="005471B6" w:rsidRPr="000A1F6A">
        <w:t>aria</w:t>
      </w:r>
      <w:r w:rsidR="00FC0B24" w:rsidRPr="000A1F6A">
        <w:t xml:space="preserve"> Fontana;</w:t>
      </w:r>
    </w:p>
    <w:p w:rsidR="00841BCC" w:rsidRPr="000A1F6A" w:rsidRDefault="00841BCC" w:rsidP="000A1F6A">
      <w:pPr>
        <w:spacing w:after="0" w:line="240" w:lineRule="atLeast"/>
        <w:rPr>
          <w:b/>
        </w:rPr>
      </w:pPr>
    </w:p>
    <w:p w:rsidR="008B1636" w:rsidRPr="000A1F6A" w:rsidRDefault="00B330C1" w:rsidP="000A1F6A">
      <w:pPr>
        <w:spacing w:after="0" w:line="240" w:lineRule="atLeast"/>
        <w:rPr>
          <w:i/>
        </w:rPr>
      </w:pPr>
      <w:r w:rsidRPr="000A1F6A">
        <w:rPr>
          <w:b/>
        </w:rPr>
        <w:t xml:space="preserve">VISTO </w:t>
      </w:r>
      <w:r w:rsidRPr="000A1F6A">
        <w:t>il D.lgs. 50 del 18 aprile 2016 ed in particolare l’art. 36, comma 2, lettera a)</w:t>
      </w:r>
      <w:r w:rsidR="007C048D" w:rsidRPr="000A1F6A">
        <w:t xml:space="preserve"> - vigente al momento della redazione dell’ODA n.° 3600053 a cura del Punto Ordinante del MIUR Dott.ssa Stefania Scozzo - nella parte in cui è previsto che </w:t>
      </w:r>
      <w:r w:rsidR="008B1636" w:rsidRPr="000A1F6A">
        <w:t>“</w:t>
      </w:r>
      <w:r w:rsidR="008B1636" w:rsidRPr="000A1F6A">
        <w:rPr>
          <w:i/>
        </w:rPr>
        <w:t xml:space="preserve">Fermo restando quanto previsto dagli </w:t>
      </w:r>
      <w:hyperlink r:id="rId10" w:anchor="037" w:history="1">
        <w:r w:rsidR="008B1636" w:rsidRPr="000A1F6A">
          <w:rPr>
            <w:rStyle w:val="Collegamentoipertestuale"/>
            <w:i/>
            <w:color w:val="auto"/>
            <w:szCs w:val="24"/>
            <w:u w:val="none"/>
          </w:rPr>
          <w:t>articoli 37 e 38</w:t>
        </w:r>
      </w:hyperlink>
      <w:r w:rsidR="008B1636" w:rsidRPr="000A1F6A">
        <w:rPr>
          <w:i/>
        </w:rPr>
        <w:t xml:space="preserve"> e salva la possibilità di ricorrere alle procedure ordinarie, le stazioni appaltanti procedono all'affidamento di lavori, servizi e forniture di importo inferiore alle soglie di cui all'</w:t>
      </w:r>
      <w:hyperlink r:id="rId11" w:anchor="035" w:history="1">
        <w:r w:rsidR="008B1636" w:rsidRPr="000A1F6A">
          <w:rPr>
            <w:rStyle w:val="Collegamentoipertestuale"/>
            <w:i/>
            <w:color w:val="auto"/>
            <w:szCs w:val="24"/>
            <w:u w:val="none"/>
          </w:rPr>
          <w:t>articolo 35</w:t>
        </w:r>
      </w:hyperlink>
      <w:r w:rsidR="008B1636" w:rsidRPr="000A1F6A">
        <w:rPr>
          <w:i/>
        </w:rPr>
        <w:t>, secondo le seguenti modalità: a) per affidamenti di importo inferiore a 40.000 euro, mediante affidamento diretto anche senza previa consultazione di due o più operatori economici o per i lavori in amministrazione diretta</w:t>
      </w:r>
      <w:r w:rsidR="008B1636" w:rsidRPr="000A1F6A">
        <w:t xml:space="preserve">; </w:t>
      </w:r>
    </w:p>
    <w:p w:rsidR="00841BCC" w:rsidRPr="000A1F6A" w:rsidRDefault="00841BCC" w:rsidP="000A1F6A">
      <w:pPr>
        <w:spacing w:after="0" w:line="240" w:lineRule="atLeast"/>
        <w:rPr>
          <w:b/>
        </w:rPr>
      </w:pPr>
    </w:p>
    <w:p w:rsidR="00386C13" w:rsidRPr="000A1F6A" w:rsidRDefault="00C0482B" w:rsidP="000A1F6A">
      <w:pPr>
        <w:spacing w:after="0" w:line="240" w:lineRule="atLeast"/>
        <w:rPr>
          <w:rFonts w:eastAsiaTheme="minorEastAsia"/>
          <w:color w:val="auto"/>
        </w:rPr>
      </w:pPr>
      <w:r w:rsidRPr="000A1F6A">
        <w:rPr>
          <w:b/>
        </w:rPr>
        <w:t xml:space="preserve">VISTA </w:t>
      </w:r>
      <w:r w:rsidRPr="000A1F6A">
        <w:t>la</w:t>
      </w:r>
      <w:r w:rsidRPr="000A1F6A">
        <w:rPr>
          <w:b/>
        </w:rPr>
        <w:t xml:space="preserve"> </w:t>
      </w:r>
      <w:r w:rsidRPr="000A1F6A">
        <w:rPr>
          <w:u w:color="000000"/>
        </w:rPr>
        <w:t>delibera ANAC n. 1097 del 26 ottobre 2</w:t>
      </w:r>
      <w:r w:rsidR="00BF75CD" w:rsidRPr="000A1F6A">
        <w:rPr>
          <w:u w:color="000000"/>
        </w:rPr>
        <w:t>0</w:t>
      </w:r>
      <w:r w:rsidRPr="000A1F6A">
        <w:rPr>
          <w:u w:color="000000"/>
        </w:rPr>
        <w:t>16: Linee Guida n. 4 intitolat</w:t>
      </w:r>
      <w:r w:rsidR="00386C13" w:rsidRPr="000A1F6A">
        <w:rPr>
          <w:u w:color="000000"/>
        </w:rPr>
        <w:t>a</w:t>
      </w:r>
      <w:r w:rsidRPr="000A1F6A">
        <w:rPr>
          <w:u w:color="000000"/>
        </w:rPr>
        <w:t xml:space="preserve"> “</w:t>
      </w:r>
      <w:r w:rsidRPr="000A1F6A">
        <w:rPr>
          <w:bCs/>
          <w:i/>
        </w:rPr>
        <w:t>Procedure per l’affidamento dei contratti pubblici di importo inferiore alle soglie di rilevanza comunitaria, indagini di mercato e formazione e gestione degli elenchi di operatori economici”</w:t>
      </w:r>
      <w:r w:rsidR="00386C13" w:rsidRPr="000A1F6A">
        <w:rPr>
          <w:bCs/>
          <w:i/>
        </w:rPr>
        <w:t>,</w:t>
      </w:r>
      <w:r w:rsidRPr="000A1F6A">
        <w:rPr>
          <w:bCs/>
          <w:i/>
        </w:rPr>
        <w:t xml:space="preserve"> </w:t>
      </w:r>
      <w:r w:rsidRPr="000A1F6A">
        <w:rPr>
          <w:bCs/>
        </w:rPr>
        <w:t xml:space="preserve">pubblicate sulla Gazzetta Ufficiale della Repubblica Italiana n. 274 del 23 novembre 2016, </w:t>
      </w:r>
      <w:r w:rsidR="00386C13" w:rsidRPr="000A1F6A">
        <w:rPr>
          <w:bCs/>
        </w:rPr>
        <w:t xml:space="preserve">nelle quali al paragrafo 3.1.3. </w:t>
      </w:r>
      <w:r w:rsidRPr="000A1F6A">
        <w:rPr>
          <w:bCs/>
        </w:rPr>
        <w:t xml:space="preserve">è previsto che </w:t>
      </w:r>
      <w:r w:rsidRPr="000A1F6A">
        <w:rPr>
          <w:color w:val="auto"/>
        </w:rPr>
        <w:t xml:space="preserve"> “</w:t>
      </w:r>
      <w:r w:rsidR="00386C13" w:rsidRPr="000A1F6A">
        <w:rPr>
          <w:rFonts w:eastAsiaTheme="minorEastAsia"/>
          <w:i/>
          <w:color w:val="auto"/>
        </w:rPr>
        <w:t xml:space="preserve">Per i lavori, servizi e forniture di importo inferiore a 40.000,00 euro, la procedura prende avvio con la determina a contrarre ovvero con atto ad essa equivalente, contenente, tra l’altro, l’indicazione della procedura che si vuole seguire con una sintetica indicazione delle ragioni. </w:t>
      </w:r>
      <w:r w:rsidR="00386C13" w:rsidRPr="000A1F6A">
        <w:rPr>
          <w:rFonts w:eastAsiaTheme="minorEastAsia"/>
          <w:i/>
          <w:color w:val="auto"/>
          <w:u w:val="single"/>
        </w:rPr>
        <w:t>Il contenuto dei predetti atti può essere semplificato in determinate situazioni, come nel caso dell’ordine diretto di acquisto sul mercato elettronico o di acquisti di modico valore per i quali sono certi il nominativo del fornitore e l’importo della fornitura</w:t>
      </w:r>
      <w:r w:rsidR="00F8264E" w:rsidRPr="000A1F6A">
        <w:rPr>
          <w:rFonts w:eastAsiaTheme="minorEastAsia"/>
          <w:color w:val="auto"/>
          <w:u w:val="single"/>
        </w:rPr>
        <w:t>”;</w:t>
      </w:r>
    </w:p>
    <w:p w:rsidR="00386C13" w:rsidRPr="000A1F6A" w:rsidRDefault="00386C13" w:rsidP="000A1F6A">
      <w:pPr>
        <w:spacing w:after="0" w:line="240" w:lineRule="atLeast"/>
        <w:rPr>
          <w:i/>
          <w:color w:val="auto"/>
          <w:highlight w:val="yellow"/>
        </w:rPr>
      </w:pPr>
    </w:p>
    <w:p w:rsidR="00944766" w:rsidRPr="000A1F6A" w:rsidRDefault="00944766" w:rsidP="00944766">
      <w:pPr>
        <w:spacing w:after="0" w:line="240" w:lineRule="atLeast"/>
        <w:rPr>
          <w:rFonts w:eastAsiaTheme="minorEastAsia"/>
          <w:color w:val="auto"/>
        </w:rPr>
      </w:pPr>
      <w:r w:rsidRPr="000A1F6A">
        <w:rPr>
          <w:b/>
        </w:rPr>
        <w:lastRenderedPageBreak/>
        <w:t>PRESO ATTO</w:t>
      </w:r>
      <w:r w:rsidRPr="000A1F6A">
        <w:t xml:space="preserve"> che agli atti risulta la coincidenza della fattispecie con le previsioni del</w:t>
      </w:r>
      <w:r>
        <w:t xml:space="preserve">l’art. 3 </w:t>
      </w:r>
      <w:r w:rsidRPr="000A1F6A">
        <w:t xml:space="preserve"> rubricato “</w:t>
      </w:r>
      <w:r w:rsidRPr="000A1F6A">
        <w:rPr>
          <w:rFonts w:eastAsiaTheme="minorEastAsia"/>
          <w:i/>
          <w:iCs/>
          <w:color w:val="auto"/>
        </w:rPr>
        <w:t xml:space="preserve">Disposizioni attuative e monitoraggio” </w:t>
      </w:r>
      <w:r>
        <w:t xml:space="preserve">della </w:t>
      </w:r>
      <w:r w:rsidRPr="000A1F6A">
        <w:t>Delibera CIPE n. 44/2016 (Gazzetta Ufficiale della Repubblica Italiana serie generale n. 36 del 13/2/2017) di approvazione del «Programma operativo complementare di azione e coesione Ricerca e Innovazione 2014-2020»</w:t>
      </w:r>
      <w:r>
        <w:t xml:space="preserve"> nella parte in cui è previsto che </w:t>
      </w:r>
      <w:r w:rsidRPr="000A1F6A">
        <w:t xml:space="preserve"> </w:t>
      </w:r>
      <w:r w:rsidRPr="000A1F6A">
        <w:rPr>
          <w:rFonts w:eastAsiaTheme="minorEastAsia"/>
          <w:iCs/>
          <w:color w:val="auto"/>
        </w:rPr>
        <w:t>“</w:t>
      </w:r>
      <w:r w:rsidRPr="000A1F6A">
        <w:rPr>
          <w:rFonts w:eastAsiaTheme="minorEastAsia"/>
          <w:color w:val="auto"/>
        </w:rPr>
        <w:t>L’amministrazione responsabile del programma è tenuta a garantire:</w:t>
      </w:r>
    </w:p>
    <w:p w:rsidR="00944766" w:rsidRPr="000A1F6A" w:rsidRDefault="00944766" w:rsidP="00944766">
      <w:pPr>
        <w:spacing w:after="0" w:line="240" w:lineRule="atLeast"/>
        <w:rPr>
          <w:rFonts w:eastAsiaTheme="minorEastAsia"/>
          <w:color w:val="auto"/>
        </w:rPr>
      </w:pPr>
      <w:r w:rsidRPr="000A1F6A">
        <w:rPr>
          <w:rFonts w:eastAsiaTheme="minorEastAsia"/>
          <w:color w:val="auto"/>
        </w:rPr>
        <w:t>- che le operazioni destinate a beneficiare di un finanziamento siano selezionate coerentemente alle norme comunitarie e nazionali applicabili per l’intero periodo di attuazione;</w:t>
      </w:r>
    </w:p>
    <w:p w:rsidR="00944766" w:rsidRPr="000A1F6A" w:rsidRDefault="00944766" w:rsidP="00944766">
      <w:pPr>
        <w:spacing w:after="0" w:line="240" w:lineRule="atLeast"/>
        <w:rPr>
          <w:rFonts w:eastAsiaTheme="minorEastAsia"/>
          <w:color w:val="auto"/>
        </w:rPr>
      </w:pPr>
      <w:r w:rsidRPr="000A1F6A">
        <w:rPr>
          <w:rFonts w:eastAsiaTheme="minorEastAsia"/>
          <w:color w:val="auto"/>
        </w:rPr>
        <w:t>- la messa in opera di un sistema di gestione e controllo efficace ed idoneo a garantire il corretto utilizzo delle risorse finanziarie attribuite nell’ambito del PAC;</w:t>
      </w:r>
    </w:p>
    <w:p w:rsidR="00944766" w:rsidRPr="000A1F6A" w:rsidRDefault="00944766" w:rsidP="00944766">
      <w:pPr>
        <w:spacing w:after="0" w:line="240" w:lineRule="atLeast"/>
        <w:rPr>
          <w:b/>
          <w:bCs/>
        </w:rPr>
      </w:pPr>
      <w:r w:rsidRPr="000A1F6A">
        <w:rPr>
          <w:rFonts w:eastAsiaTheme="minorEastAsia"/>
          <w:color w:val="auto"/>
        </w:rPr>
        <w:t>- il corretto caricamento dei dati relativi all’avanzamento procedurale, finanziario e fisico delle iniziative finanziate con risorse a valere sul PAC, avvalendosi a tal fine delle funzionalità dei sistemi informativi già in uso per il monitoraggio dei Programmi opera</w:t>
      </w:r>
      <w:r w:rsidR="000A5D81">
        <w:rPr>
          <w:rFonts w:eastAsiaTheme="minorEastAsia"/>
          <w:color w:val="auto"/>
        </w:rPr>
        <w:t>tivi finanziati con i fondi SIE;</w:t>
      </w:r>
    </w:p>
    <w:p w:rsidR="00944766" w:rsidRPr="000A1F6A" w:rsidRDefault="00944766" w:rsidP="00944766">
      <w:pPr>
        <w:spacing w:after="0" w:line="240" w:lineRule="atLeast"/>
        <w:rPr>
          <w:b/>
          <w:bCs/>
        </w:rPr>
      </w:pPr>
    </w:p>
    <w:p w:rsidR="00FD5E86" w:rsidRPr="00FD5E86" w:rsidRDefault="00FD5E86" w:rsidP="00FD5E86">
      <w:pPr>
        <w:autoSpaceDE w:val="0"/>
        <w:autoSpaceDN w:val="0"/>
        <w:adjustRightInd w:val="0"/>
        <w:spacing w:after="0" w:line="240" w:lineRule="auto"/>
        <w:ind w:left="0" w:firstLine="0"/>
        <w:rPr>
          <w:b/>
          <w:szCs w:val="24"/>
        </w:rPr>
      </w:pPr>
      <w:r w:rsidRPr="00924859">
        <w:rPr>
          <w:b/>
          <w:szCs w:val="24"/>
        </w:rPr>
        <w:t xml:space="preserve">VISTA </w:t>
      </w:r>
      <w:r w:rsidRPr="00924859">
        <w:rPr>
          <w:szCs w:val="24"/>
        </w:rPr>
        <w:t xml:space="preserve">la richiesta, formalizzata dal Dr. Antonio Di Donato, </w:t>
      </w:r>
      <w:r w:rsidRPr="00924859">
        <w:rPr>
          <w:rFonts w:eastAsiaTheme="minorEastAsia"/>
          <w:color w:val="auto"/>
          <w:szCs w:val="24"/>
        </w:rPr>
        <w:t>Dirigente Ufficio I - Bilancio e Contabilità del MIUR e pervenuta all’Ufficio IV° in d</w:t>
      </w:r>
      <w:r w:rsidRPr="00924859">
        <w:rPr>
          <w:szCs w:val="24"/>
        </w:rPr>
        <w:t xml:space="preserve">ata 15 marzo 2017, </w:t>
      </w:r>
      <w:r w:rsidRPr="00924859">
        <w:rPr>
          <w:rFonts w:eastAsiaTheme="minorEastAsia"/>
          <w:color w:val="auto"/>
          <w:szCs w:val="24"/>
        </w:rPr>
        <w:t>avente ad oggetto l’acquisto degli strumenti informatici utilizzati per la gestione dei pagamenti tramite il sistema IBM AS400 definiti quali software “MODULO BASE” e software “STAMPE DI QUALITA’ PLUS”, programmi questi forniti in esclusiva dalla Soc</w:t>
      </w:r>
      <w:r w:rsidR="0029279A" w:rsidRPr="00924859">
        <w:rPr>
          <w:rFonts w:eastAsiaTheme="minorEastAsia"/>
          <w:color w:val="auto"/>
          <w:szCs w:val="24"/>
        </w:rPr>
        <w:t>ietà</w:t>
      </w:r>
      <w:r w:rsidRPr="00924859">
        <w:rPr>
          <w:rFonts w:eastAsiaTheme="minorEastAsia"/>
          <w:color w:val="auto"/>
          <w:szCs w:val="24"/>
        </w:rPr>
        <w:t xml:space="preserve"> ACG S.r.l.;</w:t>
      </w:r>
      <w:r>
        <w:rPr>
          <w:rFonts w:eastAsiaTheme="minorEastAsia"/>
          <w:color w:val="auto"/>
          <w:szCs w:val="24"/>
        </w:rPr>
        <w:t xml:space="preserve"> </w:t>
      </w:r>
    </w:p>
    <w:p w:rsidR="00FD5E86" w:rsidRPr="00FD5E86" w:rsidRDefault="00FD5E86" w:rsidP="00FD5E86">
      <w:pPr>
        <w:spacing w:after="0" w:line="240" w:lineRule="atLeast"/>
        <w:rPr>
          <w:b/>
          <w:szCs w:val="24"/>
        </w:rPr>
      </w:pPr>
    </w:p>
    <w:p w:rsidR="00E3550F" w:rsidRPr="000A1F6A" w:rsidRDefault="00193B34" w:rsidP="000A1F6A">
      <w:pPr>
        <w:spacing w:after="0" w:line="240" w:lineRule="atLeast"/>
      </w:pPr>
      <w:r w:rsidRPr="000A1F6A">
        <w:rPr>
          <w:b/>
        </w:rPr>
        <w:t>PRESO ATTO</w:t>
      </w:r>
      <w:r w:rsidRPr="000A1F6A">
        <w:t xml:space="preserve"> che</w:t>
      </w:r>
      <w:r w:rsidR="004B216D" w:rsidRPr="000A1F6A">
        <w:t xml:space="preserve"> </w:t>
      </w:r>
      <w:r w:rsidR="00386C13" w:rsidRPr="000A1F6A">
        <w:t xml:space="preserve">agli atti risulta la coincidenza della fattispecie con le previsioni del punto 3.1.3.  delle </w:t>
      </w:r>
      <w:r w:rsidR="00BF75CD" w:rsidRPr="000A1F6A">
        <w:t xml:space="preserve">richiamate Linee Guida n.° 4 approvate con </w:t>
      </w:r>
      <w:r w:rsidR="00BF75CD" w:rsidRPr="000A1F6A">
        <w:rPr>
          <w:u w:color="000000"/>
        </w:rPr>
        <w:t>delibera ANAC n. 1097 del 26 ottobre 2016</w:t>
      </w:r>
      <w:r w:rsidR="00E3550F" w:rsidRPr="000A1F6A">
        <w:t xml:space="preserve"> nella parte in cui è prevista la possibilità per la Stazione Appaltante di predisporre una Determinazione a contrarre semplificata </w:t>
      </w:r>
      <w:r w:rsidR="00E16C31" w:rsidRPr="000A1F6A">
        <w:t xml:space="preserve">- </w:t>
      </w:r>
      <w:r w:rsidR="00E3550F" w:rsidRPr="000A1F6A">
        <w:t xml:space="preserve">successiva allo svolgimento della procedura mediante </w:t>
      </w:r>
      <w:r w:rsidR="00467E58" w:rsidRPr="000A1F6A">
        <w:t>Ordine D</w:t>
      </w:r>
      <w:r w:rsidR="00E3550F" w:rsidRPr="000A1F6A">
        <w:t>iretto</w:t>
      </w:r>
      <w:r w:rsidR="00E16C31" w:rsidRPr="000A1F6A">
        <w:t xml:space="preserve"> </w:t>
      </w:r>
      <w:r w:rsidR="00467E58" w:rsidRPr="000A1F6A">
        <w:t>ai sensi di quanto disposto dagli artt.</w:t>
      </w:r>
      <w:r w:rsidR="00777522" w:rsidRPr="000A1F6A">
        <w:t xml:space="preserve"> </w:t>
      </w:r>
      <w:r w:rsidR="00467E58" w:rsidRPr="000A1F6A">
        <w:t>46,47,48 e 49 delle Regole del Sistema di e-</w:t>
      </w:r>
      <w:proofErr w:type="spellStart"/>
      <w:r w:rsidR="00467E58" w:rsidRPr="000A1F6A">
        <w:t>procurement</w:t>
      </w:r>
      <w:proofErr w:type="spellEnd"/>
      <w:r w:rsidR="00467E58" w:rsidRPr="000A1F6A">
        <w:t xml:space="preserve"> </w:t>
      </w:r>
      <w:r w:rsidR="00E3550F" w:rsidRPr="000A1F6A">
        <w:t>della P.A.</w:t>
      </w:r>
      <w:r w:rsidR="00467E58" w:rsidRPr="000A1F6A">
        <w:t xml:space="preserve"> così come richiamate dall’art. 36, comma 6 del </w:t>
      </w:r>
      <w:r w:rsidR="00467E58" w:rsidRPr="000A1F6A">
        <w:rPr>
          <w:color w:val="auto"/>
        </w:rPr>
        <w:t>D.lgs. 50 del 18 aprile 2016</w:t>
      </w:r>
      <w:r w:rsidR="00E3550F" w:rsidRPr="000A1F6A">
        <w:t>;</w:t>
      </w:r>
    </w:p>
    <w:p w:rsidR="000E1B27" w:rsidRPr="000A1F6A" w:rsidRDefault="000E1B27" w:rsidP="000A1F6A">
      <w:pPr>
        <w:spacing w:after="0" w:line="240" w:lineRule="atLeast"/>
        <w:rPr>
          <w:color w:val="auto"/>
        </w:rPr>
      </w:pPr>
    </w:p>
    <w:p w:rsidR="00193B34" w:rsidRPr="000A1F6A" w:rsidRDefault="000E1B27" w:rsidP="000A1F6A">
      <w:pPr>
        <w:spacing w:after="0" w:line="240" w:lineRule="atLeast"/>
      </w:pPr>
      <w:r w:rsidRPr="000A1F6A">
        <w:rPr>
          <w:b/>
        </w:rPr>
        <w:t xml:space="preserve">VISTO </w:t>
      </w:r>
      <w:r w:rsidRPr="000A1F6A">
        <w:t>l’ODA protocollata al n.° 0006699</w:t>
      </w:r>
      <w:r w:rsidRPr="000A1F6A">
        <w:rPr>
          <w:b/>
        </w:rPr>
        <w:t xml:space="preserve"> </w:t>
      </w:r>
      <w:r w:rsidRPr="000A1F6A">
        <w:t xml:space="preserve">del 07/04/2017, a cura </w:t>
      </w:r>
      <w:r w:rsidRPr="000A1F6A">
        <w:rPr>
          <w:color w:val="auto"/>
        </w:rPr>
        <w:t>del Punto Ordinante del MIUR Dott.ssa Stefania Scozzo - CIG n.° Z611E129E, con la quale viene affidata alla Ditta ACG SRL</w:t>
      </w:r>
      <w:r w:rsidR="00CC52B6" w:rsidRPr="000A1F6A">
        <w:rPr>
          <w:color w:val="auto"/>
        </w:rPr>
        <w:t xml:space="preserve"> con sede in Via </w:t>
      </w:r>
      <w:proofErr w:type="spellStart"/>
      <w:r w:rsidR="00CC52B6" w:rsidRPr="000A1F6A">
        <w:rPr>
          <w:color w:val="auto"/>
        </w:rPr>
        <w:t>Gagarin</w:t>
      </w:r>
      <w:proofErr w:type="spellEnd"/>
      <w:r w:rsidR="00CC52B6" w:rsidRPr="000A1F6A">
        <w:rPr>
          <w:color w:val="auto"/>
        </w:rPr>
        <w:t xml:space="preserve"> n.° 205 - 61100</w:t>
      </w:r>
      <w:r w:rsidRPr="000A1F6A">
        <w:rPr>
          <w:color w:val="auto"/>
        </w:rPr>
        <w:t xml:space="preserve"> Pesaro (PU)</w:t>
      </w:r>
      <w:r w:rsidR="0022704C" w:rsidRPr="000A1F6A">
        <w:rPr>
          <w:color w:val="auto"/>
        </w:rPr>
        <w:t xml:space="preserve"> - C.F. e P.I.08419500965 -</w:t>
      </w:r>
      <w:r w:rsidRPr="000A1F6A">
        <w:rPr>
          <w:color w:val="auto"/>
        </w:rPr>
        <w:t xml:space="preserve"> l’affidamento d</w:t>
      </w:r>
      <w:r w:rsidR="00585471" w:rsidRPr="000A1F6A">
        <w:rPr>
          <w:color w:val="auto"/>
        </w:rPr>
        <w:t>ella fornitura d</w:t>
      </w:r>
      <w:r w:rsidRPr="000A1F6A">
        <w:rPr>
          <w:color w:val="auto"/>
        </w:rPr>
        <w:t xml:space="preserve">i n.° 2 “Software di gestione” tramite Licenza per n.° 1 Utente, l’uno definito “MODULO BASE” per un importo pari ad € 1.619,27 oltre IVA e l’altro definito “STAMPE DI QUALITA’ PLUS” per un importo pari ad € 1.635,01 oltre IVA, per </w:t>
      </w:r>
      <w:r w:rsidR="004B216D" w:rsidRPr="000A1F6A">
        <w:t>un</w:t>
      </w:r>
      <w:r w:rsidRPr="000A1F6A">
        <w:t>a</w:t>
      </w:r>
      <w:r w:rsidR="004B216D" w:rsidRPr="000A1F6A">
        <w:t xml:space="preserve"> spesa complessiva </w:t>
      </w:r>
      <w:r w:rsidR="00C8642F" w:rsidRPr="000A1F6A">
        <w:t xml:space="preserve">effettiva </w:t>
      </w:r>
      <w:r w:rsidR="00C20693" w:rsidRPr="000A1F6A">
        <w:t>pari ad € 3.970</w:t>
      </w:r>
      <w:r w:rsidR="004B216D" w:rsidRPr="000A1F6A">
        <w:t>,</w:t>
      </w:r>
      <w:r w:rsidR="00C20693" w:rsidRPr="000A1F6A">
        <w:t>22</w:t>
      </w:r>
      <w:r w:rsidR="004B216D" w:rsidRPr="000A1F6A">
        <w:t xml:space="preserve"> oltre IVA</w:t>
      </w:r>
      <w:r w:rsidR="00B81AA1" w:rsidRPr="000A1F6A">
        <w:t xml:space="preserve"> al 22%</w:t>
      </w:r>
      <w:r w:rsidR="00C8642F" w:rsidRPr="000A1F6A">
        <w:t>, il cui importo è stato determinato quale esito della p</w:t>
      </w:r>
      <w:r w:rsidR="004B216D" w:rsidRPr="000A1F6A">
        <w:t xml:space="preserve">rocedura </w:t>
      </w:r>
      <w:r w:rsidR="00C8642F" w:rsidRPr="000A1F6A">
        <w:t xml:space="preserve">di </w:t>
      </w:r>
      <w:r w:rsidR="00B81AA1" w:rsidRPr="000A1F6A">
        <w:t xml:space="preserve">acquisto </w:t>
      </w:r>
      <w:r w:rsidR="00C20693" w:rsidRPr="000A1F6A">
        <w:t xml:space="preserve">mediante Ordine Diretto presso il catalogo del Fornitore presente sul </w:t>
      </w:r>
      <w:proofErr w:type="spellStart"/>
      <w:r w:rsidR="00C20693" w:rsidRPr="000A1F6A">
        <w:t>Me.Pa</w:t>
      </w:r>
      <w:proofErr w:type="spellEnd"/>
      <w:r w:rsidR="00C20693" w:rsidRPr="000A1F6A">
        <w:t>.;</w:t>
      </w:r>
      <w:r w:rsidR="008A1596" w:rsidRPr="000A1F6A">
        <w:t xml:space="preserve"> </w:t>
      </w:r>
      <w:r w:rsidR="004B216D" w:rsidRPr="000A1F6A">
        <w:t>(</w:t>
      </w:r>
      <w:r w:rsidR="004B216D" w:rsidRPr="000A1F6A">
        <w:rPr>
          <w:b/>
        </w:rPr>
        <w:t>att</w:t>
      </w:r>
      <w:r w:rsidR="00C20693" w:rsidRPr="000A1F6A">
        <w:rPr>
          <w:b/>
        </w:rPr>
        <w:t>o</w:t>
      </w:r>
      <w:r w:rsidR="004B216D" w:rsidRPr="000A1F6A">
        <w:rPr>
          <w:b/>
        </w:rPr>
        <w:t xml:space="preserve"> allegat</w:t>
      </w:r>
      <w:r w:rsidR="00C20693" w:rsidRPr="000A1F6A">
        <w:rPr>
          <w:b/>
        </w:rPr>
        <w:t>o</w:t>
      </w:r>
      <w:r w:rsidR="004B216D" w:rsidRPr="000A1F6A">
        <w:rPr>
          <w:b/>
        </w:rPr>
        <w:t xml:space="preserve"> n.° 1</w:t>
      </w:r>
      <w:r w:rsidR="004B216D" w:rsidRPr="000A1F6A">
        <w:t>);</w:t>
      </w:r>
      <w:r w:rsidR="00193B34" w:rsidRPr="000A1F6A">
        <w:t xml:space="preserve"> </w:t>
      </w:r>
      <w:r w:rsidR="00193B34" w:rsidRPr="000A1F6A">
        <w:rPr>
          <w:b/>
        </w:rPr>
        <w:t xml:space="preserve">  </w:t>
      </w:r>
    </w:p>
    <w:p w:rsidR="008A1596" w:rsidRPr="0029279A" w:rsidRDefault="008A1596" w:rsidP="000A1F6A">
      <w:pPr>
        <w:spacing w:after="0" w:line="240" w:lineRule="atLeast"/>
      </w:pPr>
    </w:p>
    <w:p w:rsidR="0029279A" w:rsidRPr="00224FCB" w:rsidRDefault="0029279A" w:rsidP="0029279A">
      <w:pPr>
        <w:spacing w:after="0" w:line="240" w:lineRule="atLeast"/>
        <w:rPr>
          <w:b/>
          <w:i/>
        </w:rPr>
      </w:pPr>
      <w:r w:rsidRPr="00224FCB">
        <w:rPr>
          <w:b/>
        </w:rPr>
        <w:t>VISTA</w:t>
      </w:r>
      <w:r w:rsidR="00924859" w:rsidRPr="00224FCB">
        <w:t xml:space="preserve"> la nota </w:t>
      </w:r>
      <w:proofErr w:type="spellStart"/>
      <w:r w:rsidRPr="00224FCB">
        <w:t>Prot</w:t>
      </w:r>
      <w:proofErr w:type="spellEnd"/>
      <w:r w:rsidR="00224FCB" w:rsidRPr="00224FCB">
        <w:t>. n. 1256</w:t>
      </w:r>
      <w:r w:rsidRPr="00224FCB">
        <w:t xml:space="preserve"> del </w:t>
      </w:r>
      <w:r w:rsidR="00224FCB" w:rsidRPr="00224FCB">
        <w:t>25/01/2018</w:t>
      </w:r>
      <w:r w:rsidRPr="00224FCB">
        <w:t xml:space="preserve"> con la quale il </w:t>
      </w:r>
      <w:r w:rsidRPr="00224FCB">
        <w:rPr>
          <w:szCs w:val="24"/>
        </w:rPr>
        <w:t xml:space="preserve">Dr. Antonio Di Donato, </w:t>
      </w:r>
      <w:r w:rsidRPr="00224FCB">
        <w:rPr>
          <w:rFonts w:eastAsiaTheme="minorEastAsia"/>
          <w:color w:val="auto"/>
          <w:szCs w:val="24"/>
        </w:rPr>
        <w:t xml:space="preserve">Dirigente Ufficio I - Bilancio e Contabilità del MIUR, attesta la conformità e regolarità della fornitura </w:t>
      </w:r>
      <w:r w:rsidRPr="00224FCB">
        <w:rPr>
          <w:color w:val="auto"/>
        </w:rPr>
        <w:t xml:space="preserve">di n.° 2 “Software di gestione” tramite Licenza per n.° 1 Utente, l’uno definito “MODULO BASE” e l’altro definito “STAMPE DI QUALITA’ PLUS” </w:t>
      </w:r>
      <w:r w:rsidRPr="00224FCB">
        <w:t>effettuate dalla Ditta</w:t>
      </w:r>
      <w:r w:rsidRPr="00224FCB">
        <w:rPr>
          <w:b/>
        </w:rPr>
        <w:t xml:space="preserve"> </w:t>
      </w:r>
      <w:r w:rsidRPr="00224FCB">
        <w:rPr>
          <w:color w:val="auto"/>
        </w:rPr>
        <w:t xml:space="preserve">ACG S.r.l. con sede in Via </w:t>
      </w:r>
      <w:proofErr w:type="spellStart"/>
      <w:r w:rsidRPr="00224FCB">
        <w:rPr>
          <w:color w:val="auto"/>
        </w:rPr>
        <w:t>Gagarin</w:t>
      </w:r>
      <w:proofErr w:type="spellEnd"/>
      <w:r w:rsidRPr="00224FCB">
        <w:rPr>
          <w:color w:val="auto"/>
        </w:rPr>
        <w:t xml:space="preserve"> n.° 205 - 61100 Pesaro (PU) - C.F. e P.I. 08419500965</w:t>
      </w:r>
      <w:r w:rsidRPr="00224FCB">
        <w:t>;</w:t>
      </w:r>
    </w:p>
    <w:p w:rsidR="0029279A" w:rsidRDefault="0029279A" w:rsidP="000A1F6A">
      <w:pPr>
        <w:spacing w:after="0" w:line="240" w:lineRule="atLeast"/>
        <w:rPr>
          <w:b/>
        </w:rPr>
      </w:pPr>
    </w:p>
    <w:p w:rsidR="0029279A" w:rsidRDefault="0029279A" w:rsidP="000A1F6A">
      <w:pPr>
        <w:spacing w:after="0" w:line="240" w:lineRule="atLeast"/>
        <w:rPr>
          <w:b/>
        </w:rPr>
      </w:pPr>
    </w:p>
    <w:p w:rsidR="0029279A" w:rsidRDefault="0029279A" w:rsidP="000A1F6A">
      <w:pPr>
        <w:spacing w:after="0" w:line="240" w:lineRule="atLeast"/>
        <w:rPr>
          <w:b/>
        </w:rPr>
      </w:pPr>
    </w:p>
    <w:p w:rsidR="00193B34" w:rsidRDefault="00193B34" w:rsidP="000A1F6A">
      <w:pPr>
        <w:spacing w:after="0" w:line="240" w:lineRule="atLeast"/>
        <w:rPr>
          <w:b/>
          <w:color w:val="C00000"/>
        </w:rPr>
      </w:pPr>
      <w:r w:rsidRPr="000A1F6A">
        <w:rPr>
          <w:b/>
        </w:rPr>
        <w:t xml:space="preserve">VISTA </w:t>
      </w:r>
      <w:r w:rsidRPr="000A1F6A">
        <w:t xml:space="preserve">l'attuale disponibilità delle risorse finanziarie a valere sul </w:t>
      </w:r>
      <w:r w:rsidRPr="006A3685">
        <w:t>Conto di Contabilità speciale n. 5944, denominato MIUR-RIC-FONDI-UE-FDR-L-183-</w:t>
      </w:r>
      <w:r w:rsidRPr="006A3685">
        <w:rPr>
          <w:color w:val="auto"/>
        </w:rPr>
        <w:t>87</w:t>
      </w:r>
      <w:r w:rsidR="000A5D81" w:rsidRPr="000A5D81">
        <w:rPr>
          <w:color w:val="auto"/>
        </w:rPr>
        <w:t>.</w:t>
      </w:r>
      <w:bookmarkStart w:id="0" w:name="_GoBack"/>
      <w:bookmarkEnd w:id="0"/>
    </w:p>
    <w:p w:rsidR="00FD5E86" w:rsidRPr="000A1F6A" w:rsidRDefault="00FD5E86" w:rsidP="000A1F6A">
      <w:pPr>
        <w:spacing w:after="0" w:line="240" w:lineRule="atLeast"/>
        <w:rPr>
          <w:b/>
          <w:i/>
        </w:rPr>
      </w:pPr>
    </w:p>
    <w:p w:rsidR="00193B34" w:rsidRPr="000A1F6A" w:rsidRDefault="00193B34" w:rsidP="000A1F6A">
      <w:pPr>
        <w:spacing w:after="0" w:line="240" w:lineRule="atLeast"/>
        <w:jc w:val="center"/>
        <w:rPr>
          <w:b/>
          <w:i/>
        </w:rPr>
      </w:pPr>
      <w:r w:rsidRPr="000A1F6A">
        <w:rPr>
          <w:b/>
          <w:i/>
        </w:rPr>
        <w:t>DETERMINA</w:t>
      </w:r>
    </w:p>
    <w:p w:rsidR="00193B34" w:rsidRPr="000A1F6A" w:rsidRDefault="00193B34" w:rsidP="000A1F6A">
      <w:pPr>
        <w:spacing w:after="0" w:line="240" w:lineRule="atLeast"/>
        <w:rPr>
          <w:i/>
        </w:rPr>
      </w:pPr>
    </w:p>
    <w:p w:rsidR="0006515B" w:rsidRPr="000A1F6A" w:rsidRDefault="00193B34" w:rsidP="000A1F6A">
      <w:pPr>
        <w:pStyle w:val="Paragrafoelenco"/>
        <w:numPr>
          <w:ilvl w:val="0"/>
          <w:numId w:val="12"/>
        </w:numPr>
        <w:spacing w:after="0" w:line="240" w:lineRule="atLeast"/>
        <w:ind w:left="284" w:hanging="284"/>
        <w:rPr>
          <w:b/>
        </w:rPr>
      </w:pPr>
      <w:r w:rsidRPr="000A1F6A">
        <w:rPr>
          <w:b/>
        </w:rPr>
        <w:t xml:space="preserve">di approvare </w:t>
      </w:r>
      <w:r w:rsidRPr="000A1F6A">
        <w:t>la narrativa che precede come parte integrante del presente dispositivo;</w:t>
      </w:r>
      <w:r w:rsidRPr="000A1F6A">
        <w:rPr>
          <w:b/>
        </w:rPr>
        <w:t xml:space="preserve"> </w:t>
      </w:r>
    </w:p>
    <w:p w:rsidR="0006515B" w:rsidRPr="000A1F6A" w:rsidRDefault="0086769E" w:rsidP="000A1F6A">
      <w:pPr>
        <w:pStyle w:val="Paragrafoelenco"/>
        <w:numPr>
          <w:ilvl w:val="0"/>
          <w:numId w:val="12"/>
        </w:numPr>
        <w:spacing w:after="0" w:line="240" w:lineRule="atLeast"/>
        <w:ind w:left="284" w:hanging="284"/>
        <w:rPr>
          <w:b/>
        </w:rPr>
      </w:pPr>
      <w:r w:rsidRPr="000A1F6A">
        <w:rPr>
          <w:b/>
        </w:rPr>
        <w:t xml:space="preserve">di </w:t>
      </w:r>
      <w:r w:rsidR="001D2BAF" w:rsidRPr="000A1F6A">
        <w:rPr>
          <w:b/>
        </w:rPr>
        <w:t xml:space="preserve">dare atto </w:t>
      </w:r>
      <w:r w:rsidR="001D2BAF" w:rsidRPr="000A1F6A">
        <w:t>che è stata svolta</w:t>
      </w:r>
      <w:r w:rsidR="001D2BAF" w:rsidRPr="000A1F6A">
        <w:rPr>
          <w:b/>
        </w:rPr>
        <w:t xml:space="preserve"> </w:t>
      </w:r>
      <w:r w:rsidRPr="000A1F6A">
        <w:t xml:space="preserve">una procedura di acquisto tramite </w:t>
      </w:r>
      <w:r w:rsidR="00467E58" w:rsidRPr="000A1F6A">
        <w:t xml:space="preserve">mediante Ordine Diretto presso il catalogo del Fornitore presente sul </w:t>
      </w:r>
      <w:proofErr w:type="spellStart"/>
      <w:r w:rsidR="00467E58" w:rsidRPr="000A1F6A">
        <w:t>Me.Pa</w:t>
      </w:r>
      <w:proofErr w:type="spellEnd"/>
      <w:r w:rsidR="00467E58" w:rsidRPr="000A1F6A">
        <w:t xml:space="preserve">. </w:t>
      </w:r>
      <w:r w:rsidR="0006515B" w:rsidRPr="000A1F6A">
        <w:t>ai sensi di quanto disposto dagli artt. 46,47,48 e 49 delle Regole del Sistema di e-</w:t>
      </w:r>
      <w:proofErr w:type="spellStart"/>
      <w:r w:rsidR="0006515B" w:rsidRPr="000A1F6A">
        <w:t>procurement</w:t>
      </w:r>
      <w:proofErr w:type="spellEnd"/>
      <w:r w:rsidR="0006515B" w:rsidRPr="000A1F6A">
        <w:t xml:space="preserve"> della P.A. così come richiamate dall’art. 36, comma 6 del </w:t>
      </w:r>
      <w:r w:rsidR="0006515B" w:rsidRPr="000A1F6A">
        <w:rPr>
          <w:color w:val="auto"/>
        </w:rPr>
        <w:t xml:space="preserve">D.lgs. 50 del 18 aprile 2016, in combinato disposto con </w:t>
      </w:r>
      <w:r w:rsidR="0006515B" w:rsidRPr="000A1F6A">
        <w:t xml:space="preserve">le previsioni del punto 3.1.3. </w:t>
      </w:r>
      <w:r w:rsidR="00EA54E5" w:rsidRPr="000A1F6A">
        <w:t xml:space="preserve">delle </w:t>
      </w:r>
      <w:r w:rsidR="0006515B" w:rsidRPr="000A1F6A">
        <w:t xml:space="preserve">Linee Guida n.° 4  approvate con </w:t>
      </w:r>
      <w:r w:rsidR="0006515B" w:rsidRPr="000A1F6A">
        <w:rPr>
          <w:u w:color="000000"/>
        </w:rPr>
        <w:t>delibera ANAC n. 1097 del 26 ottobre 2016</w:t>
      </w:r>
      <w:r w:rsidR="0006515B" w:rsidRPr="000A1F6A">
        <w:t xml:space="preserve"> nella parte in cui è prevista la possibilità per la Stazione Appaltante di predisporre una Determinazione a contrarre semplificata di natura ricognitiva, successiva all’effettivo svolgimento della procedura di affidamento;</w:t>
      </w:r>
    </w:p>
    <w:p w:rsidR="003B6CCF" w:rsidRPr="00224FCB" w:rsidRDefault="003B6CCF" w:rsidP="000A1F6A">
      <w:pPr>
        <w:pStyle w:val="Paragrafoelenco"/>
        <w:numPr>
          <w:ilvl w:val="0"/>
          <w:numId w:val="12"/>
        </w:numPr>
        <w:spacing w:after="0" w:line="240" w:lineRule="atLeast"/>
        <w:ind w:left="284" w:hanging="284"/>
        <w:rPr>
          <w:b/>
          <w:i/>
        </w:rPr>
      </w:pPr>
      <w:r w:rsidRPr="00224FCB">
        <w:rPr>
          <w:b/>
        </w:rPr>
        <w:t xml:space="preserve">di dare atto </w:t>
      </w:r>
      <w:r w:rsidRPr="00224FCB">
        <w:t xml:space="preserve">che le </w:t>
      </w:r>
      <w:r w:rsidR="00E201A6" w:rsidRPr="00224FCB">
        <w:t xml:space="preserve">forniture </w:t>
      </w:r>
      <w:r w:rsidR="00E201A6" w:rsidRPr="00224FCB">
        <w:rPr>
          <w:color w:val="auto"/>
        </w:rPr>
        <w:t xml:space="preserve">di n.° 2 “Software di gestione” tramite Licenza per n.° 1 Utente, l’uno definito “MODULO BASE” per un importo pari ad € 1.619,27 oltre IVA e l’altro definito “STAMPE DI QUALITA’ PLUS” per un importo pari ad € 1.635,01 oltre IVA, per </w:t>
      </w:r>
      <w:r w:rsidR="00E201A6" w:rsidRPr="00224FCB">
        <w:t xml:space="preserve">una spesa complessiva effettiva pari ad € 3.254,28 oltre IVA al 22% </w:t>
      </w:r>
      <w:r w:rsidR="004E38E6" w:rsidRPr="00224FCB">
        <w:t xml:space="preserve">pari ad € 715,94 </w:t>
      </w:r>
      <w:r w:rsidR="00E201A6" w:rsidRPr="00224FCB">
        <w:t xml:space="preserve">per un impegno di spesa complessivo pari ad € 3.970,22 </w:t>
      </w:r>
      <w:r w:rsidR="00EA54E5" w:rsidRPr="00224FCB">
        <w:rPr>
          <w:color w:val="auto"/>
        </w:rPr>
        <w:t>- CIG n.° Z611E129E</w:t>
      </w:r>
      <w:r w:rsidR="00EA54E5" w:rsidRPr="00224FCB">
        <w:t xml:space="preserve"> - </w:t>
      </w:r>
      <w:r w:rsidRPr="00224FCB">
        <w:t xml:space="preserve">sono state regolarmente e correttamente </w:t>
      </w:r>
      <w:r w:rsidR="00E201A6" w:rsidRPr="00224FCB">
        <w:t xml:space="preserve">effettuate </w:t>
      </w:r>
      <w:r w:rsidRPr="00224FCB">
        <w:t>dalla Ditta</w:t>
      </w:r>
      <w:r w:rsidRPr="00224FCB">
        <w:rPr>
          <w:b/>
        </w:rPr>
        <w:t xml:space="preserve"> </w:t>
      </w:r>
      <w:r w:rsidR="00E201A6" w:rsidRPr="00224FCB">
        <w:rPr>
          <w:color w:val="auto"/>
        </w:rPr>
        <w:t xml:space="preserve">ACG S.r.l. con sede in Via </w:t>
      </w:r>
      <w:proofErr w:type="spellStart"/>
      <w:r w:rsidR="00E201A6" w:rsidRPr="00224FCB">
        <w:rPr>
          <w:color w:val="auto"/>
        </w:rPr>
        <w:t>Gagarin</w:t>
      </w:r>
      <w:proofErr w:type="spellEnd"/>
      <w:r w:rsidR="00E201A6" w:rsidRPr="00224FCB">
        <w:rPr>
          <w:color w:val="auto"/>
        </w:rPr>
        <w:t xml:space="preserve"> n.° 205 - 61100 Pesaro (PU)</w:t>
      </w:r>
      <w:r w:rsidR="00C849C2" w:rsidRPr="00224FCB">
        <w:rPr>
          <w:color w:val="auto"/>
        </w:rPr>
        <w:t xml:space="preserve"> - C.F. e P.I.</w:t>
      </w:r>
      <w:r w:rsidR="0022704C" w:rsidRPr="00224FCB">
        <w:rPr>
          <w:color w:val="auto"/>
        </w:rPr>
        <w:t xml:space="preserve"> </w:t>
      </w:r>
      <w:r w:rsidR="00C849C2" w:rsidRPr="00224FCB">
        <w:rPr>
          <w:color w:val="auto"/>
        </w:rPr>
        <w:t>08419500965</w:t>
      </w:r>
      <w:r w:rsidRPr="00224FCB">
        <w:t>;</w:t>
      </w:r>
    </w:p>
    <w:p w:rsidR="00FA0072" w:rsidRPr="00224FCB" w:rsidRDefault="00193B34" w:rsidP="000A1F6A">
      <w:pPr>
        <w:pStyle w:val="Paragrafoelenco"/>
        <w:numPr>
          <w:ilvl w:val="0"/>
          <w:numId w:val="12"/>
        </w:numPr>
        <w:spacing w:after="0" w:line="240" w:lineRule="atLeast"/>
        <w:ind w:left="284" w:hanging="284"/>
        <w:rPr>
          <w:b/>
        </w:rPr>
      </w:pPr>
      <w:r w:rsidRPr="00224FCB">
        <w:rPr>
          <w:b/>
        </w:rPr>
        <w:t xml:space="preserve">di </w:t>
      </w:r>
      <w:r w:rsidR="0086769E" w:rsidRPr="00224FCB">
        <w:rPr>
          <w:b/>
        </w:rPr>
        <w:t xml:space="preserve">autorizzare </w:t>
      </w:r>
      <w:r w:rsidR="0086769E" w:rsidRPr="00224FCB">
        <w:t>la liquidazione ed il</w:t>
      </w:r>
      <w:r w:rsidRPr="00224FCB">
        <w:t xml:space="preserve"> pagamento </w:t>
      </w:r>
      <w:r w:rsidR="0086769E" w:rsidRPr="00224FCB">
        <w:t>della fattura elettronica presentata da</w:t>
      </w:r>
      <w:r w:rsidR="00D20FA4" w:rsidRPr="00224FCB">
        <w:t xml:space="preserve">lla </w:t>
      </w:r>
      <w:r w:rsidR="003B6CCF" w:rsidRPr="00224FCB">
        <w:t xml:space="preserve">medesima </w:t>
      </w:r>
      <w:r w:rsidR="00D20FA4" w:rsidRPr="00224FCB">
        <w:t xml:space="preserve">Ditta </w:t>
      </w:r>
      <w:r w:rsidR="00E201A6" w:rsidRPr="00224FCB">
        <w:rPr>
          <w:color w:val="auto"/>
        </w:rPr>
        <w:t>ACG S.r.l.</w:t>
      </w:r>
      <w:r w:rsidR="0086769E" w:rsidRPr="00224FCB">
        <w:t xml:space="preserve"> </w:t>
      </w:r>
      <w:r w:rsidR="00371297" w:rsidRPr="00224FCB">
        <w:t xml:space="preserve">per un </w:t>
      </w:r>
      <w:r w:rsidR="0086769E" w:rsidRPr="00224FCB">
        <w:t xml:space="preserve">importo pari ad </w:t>
      </w:r>
      <w:r w:rsidR="004E38E6" w:rsidRPr="00224FCB">
        <w:t xml:space="preserve">€ 3.254,28 oltre IVA al 22% pari ad </w:t>
      </w:r>
      <w:r w:rsidR="00224FCB" w:rsidRPr="00224FCB">
        <w:t>€ 3.970,22</w:t>
      </w:r>
      <w:r w:rsidR="00371297" w:rsidRPr="00224FCB">
        <w:t>;</w:t>
      </w:r>
    </w:p>
    <w:p w:rsidR="008B5E85" w:rsidRPr="00224FCB" w:rsidRDefault="008B5E85" w:rsidP="000A1F6A">
      <w:pPr>
        <w:pStyle w:val="Paragrafoelenco"/>
        <w:numPr>
          <w:ilvl w:val="0"/>
          <w:numId w:val="12"/>
        </w:numPr>
        <w:spacing w:after="0" w:line="240" w:lineRule="atLeast"/>
        <w:ind w:left="284" w:hanging="284"/>
        <w:rPr>
          <w:b/>
        </w:rPr>
      </w:pPr>
      <w:r w:rsidRPr="00224FCB">
        <w:rPr>
          <w:b/>
        </w:rPr>
        <w:t>di dare atto</w:t>
      </w:r>
      <w:r w:rsidRPr="00224FCB">
        <w:t xml:space="preserve"> che la spesa </w:t>
      </w:r>
      <w:r w:rsidR="00953BD8" w:rsidRPr="00224FCB">
        <w:t>derivante</w:t>
      </w:r>
      <w:r w:rsidRPr="00224FCB">
        <w:t xml:space="preserve"> dal presente atto troverà copertura nell’ambito della Contabilità Speciale n. 5944, denominata </w:t>
      </w:r>
      <w:r w:rsidR="009D7195" w:rsidRPr="00224FCB">
        <w:t>MIUR-RIC-FONDI-UE-FDR-L-183-87</w:t>
      </w:r>
      <w:r w:rsidR="00EA54E5" w:rsidRPr="00224FCB">
        <w:t>.</w:t>
      </w:r>
      <w:r w:rsidRPr="00224FCB">
        <w:t xml:space="preserve"> </w:t>
      </w:r>
      <w:r w:rsidRPr="00224FCB">
        <w:rPr>
          <w:b/>
        </w:rPr>
        <w:t xml:space="preserve"> </w:t>
      </w:r>
    </w:p>
    <w:p w:rsidR="008B5E85" w:rsidRDefault="008B5E85" w:rsidP="008B5E85">
      <w:pPr>
        <w:spacing w:after="16" w:line="259" w:lineRule="auto"/>
        <w:ind w:left="0" w:firstLine="0"/>
        <w:jc w:val="left"/>
      </w:pPr>
    </w:p>
    <w:p w:rsidR="008B5E85" w:rsidRDefault="008B5E85" w:rsidP="008B5E85">
      <w:pPr>
        <w:ind w:left="-5" w:right="51"/>
      </w:pPr>
      <w:r>
        <w:t xml:space="preserve">Il presente provvedimento è pubblicato sul sito </w:t>
      </w:r>
      <w:hyperlink r:id="rId12">
        <w:r>
          <w:rPr>
            <w:color w:val="0000FF"/>
            <w:u w:val="single" w:color="0000FF"/>
          </w:rPr>
          <w:t>www.miur.it</w:t>
        </w:r>
      </w:hyperlink>
      <w:hyperlink r:id="rId13">
        <w:r>
          <w:t xml:space="preserve"> </w:t>
        </w:r>
      </w:hyperlink>
      <w:r>
        <w:t xml:space="preserve">sezione Amministrazione trasparente ai sensi e per </w:t>
      </w:r>
      <w:r w:rsidR="00677EE9">
        <w:t>gli effetti della l. 190/2012, del d.lgs. 33/2013 e del d.lgs. 97/2016.</w:t>
      </w:r>
    </w:p>
    <w:p w:rsidR="007741FC" w:rsidRDefault="00FB31EA" w:rsidP="007741FC">
      <w:pPr>
        <w:tabs>
          <w:tab w:val="center" w:pos="7513"/>
        </w:tabs>
        <w:jc w:val="right"/>
      </w:pPr>
      <w:r>
        <w:t xml:space="preserve">   </w:t>
      </w:r>
      <w:r>
        <w:rPr>
          <w:rFonts w:ascii="Calibri" w:eastAsia="Calibri" w:hAnsi="Calibri" w:cs="Calibri"/>
          <w:sz w:val="22"/>
        </w:rPr>
        <w:tab/>
      </w:r>
      <w:r w:rsidR="00114C60">
        <w:t xml:space="preserve">   </w:t>
      </w:r>
      <w:r w:rsidR="00114C60">
        <w:tab/>
        <w:t xml:space="preserve"> </w:t>
      </w:r>
      <w:r w:rsidR="00114C60">
        <w:tab/>
        <w:t xml:space="preserve"> </w:t>
      </w:r>
      <w:r w:rsidR="00114C60">
        <w:tab/>
      </w:r>
    </w:p>
    <w:p w:rsidR="007741FC" w:rsidRPr="00C6620E" w:rsidRDefault="00114C60" w:rsidP="007741FC">
      <w:pPr>
        <w:tabs>
          <w:tab w:val="center" w:pos="7513"/>
        </w:tabs>
        <w:jc w:val="right"/>
      </w:pPr>
      <w:r>
        <w:t xml:space="preserve"> </w:t>
      </w:r>
      <w:r w:rsidR="007741FC" w:rsidRPr="00C6620E">
        <w:t>IL DIRIGENTE DELL’UFFICIO</w:t>
      </w:r>
    </w:p>
    <w:p w:rsidR="007741FC" w:rsidRPr="00C6620E" w:rsidRDefault="007741FC" w:rsidP="007741FC">
      <w:pPr>
        <w:tabs>
          <w:tab w:val="center" w:pos="7513"/>
        </w:tabs>
        <w:jc w:val="right"/>
      </w:pPr>
      <w:r w:rsidRPr="00C6620E">
        <w:t>AUTORITÀ DI GESTIONE PON</w:t>
      </w:r>
    </w:p>
    <w:p w:rsidR="007741FC" w:rsidRPr="00C6620E" w:rsidRDefault="007741FC" w:rsidP="007741FC">
      <w:pPr>
        <w:tabs>
          <w:tab w:val="center" w:pos="7513"/>
        </w:tabs>
        <w:jc w:val="right"/>
      </w:pPr>
      <w:r w:rsidRPr="00C6620E">
        <w:t>(Dott.ssa Anna Maria Fontana)</w:t>
      </w:r>
    </w:p>
    <w:p w:rsidR="007741FC" w:rsidRPr="00C6620E" w:rsidRDefault="007741FC" w:rsidP="007741FC">
      <w:pPr>
        <w:tabs>
          <w:tab w:val="center" w:pos="7513"/>
        </w:tabs>
      </w:pPr>
      <w:r w:rsidRPr="00C6620E">
        <w:rPr>
          <w:sz w:val="20"/>
          <w:szCs w:val="20"/>
        </w:rPr>
        <w:t xml:space="preserve">                   </w:t>
      </w:r>
      <w:r>
        <w:rPr>
          <w:sz w:val="20"/>
          <w:szCs w:val="20"/>
        </w:rPr>
        <w:t xml:space="preserve">     </w:t>
      </w:r>
      <w:r w:rsidRPr="00C6620E">
        <w:rPr>
          <w:sz w:val="20"/>
          <w:szCs w:val="20"/>
        </w:rPr>
        <w:t xml:space="preserve">  “Firmato digitalmente ai sensi del c.d. Codice dell’Amministrazione digitale e norme ad esso connesse</w:t>
      </w:r>
      <w:r w:rsidRPr="00C6620E">
        <w:t>”</w:t>
      </w:r>
    </w:p>
    <w:p w:rsidR="00B23527" w:rsidRDefault="00114C60" w:rsidP="00B23527">
      <w:pPr>
        <w:spacing w:after="48" w:line="259" w:lineRule="auto"/>
        <w:ind w:left="120" w:firstLine="0"/>
        <w:jc w:val="center"/>
      </w:pPr>
      <w:r>
        <w:tab/>
      </w:r>
      <w:r w:rsidR="00B23527">
        <w:t xml:space="preserve">           </w:t>
      </w:r>
    </w:p>
    <w:sectPr w:rsidR="00B23527">
      <w:headerReference w:type="even" r:id="rId14"/>
      <w:headerReference w:type="default" r:id="rId15"/>
      <w:footerReference w:type="even" r:id="rId16"/>
      <w:footerReference w:type="default" r:id="rId17"/>
      <w:headerReference w:type="first" r:id="rId18"/>
      <w:footerReference w:type="first" r:id="rId19"/>
      <w:pgSz w:w="11906" w:h="16838"/>
      <w:pgMar w:top="2892" w:right="1073" w:bottom="2137" w:left="1133" w:header="566" w:footer="7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D99" w:rsidRDefault="006A6D99">
      <w:pPr>
        <w:spacing w:after="0" w:line="240" w:lineRule="auto"/>
      </w:pPr>
      <w:r>
        <w:separator/>
      </w:r>
    </w:p>
  </w:endnote>
  <w:endnote w:type="continuationSeparator" w:id="0">
    <w:p w:rsidR="006A6D99" w:rsidRDefault="006A6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0" w:right="60" w:firstLine="0"/>
      <w:jc w:val="center"/>
    </w:pPr>
    <w:r>
      <w:fldChar w:fldCharType="begin"/>
    </w:r>
    <w:r>
      <w:instrText xml:space="preserve"> PAGE   \* MERGEFORMAT </w:instrText>
    </w:r>
    <w:r>
      <w:fldChar w:fldCharType="separate"/>
    </w:r>
    <w:r>
      <w:t>1</w:t>
    </w:r>
    <w:r>
      <w:fldChar w:fldCharType="end"/>
    </w:r>
    <w:r>
      <w:t xml:space="preserve"> </w:t>
    </w:r>
  </w:p>
  <w:p w:rsidR="00524367" w:rsidRDefault="00FB31EA">
    <w:pPr>
      <w:spacing w:after="0" w:line="259" w:lineRule="auto"/>
      <w:ind w:lef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0" w:right="60" w:firstLine="0"/>
      <w:jc w:val="center"/>
    </w:pPr>
    <w:r>
      <w:fldChar w:fldCharType="begin"/>
    </w:r>
    <w:r>
      <w:instrText xml:space="preserve"> PAGE   \* MERGEFORMAT </w:instrText>
    </w:r>
    <w:r>
      <w:fldChar w:fldCharType="separate"/>
    </w:r>
    <w:r w:rsidR="000A5D81">
      <w:rPr>
        <w:noProof/>
      </w:rPr>
      <w:t>5</w:t>
    </w:r>
    <w:r>
      <w:fldChar w:fldCharType="end"/>
    </w:r>
    <w:r>
      <w:t xml:space="preserve"> </w:t>
    </w:r>
  </w:p>
  <w:p w:rsidR="00524367" w:rsidRDefault="00FB31EA">
    <w:pPr>
      <w:spacing w:after="0" w:line="259" w:lineRule="auto"/>
      <w:ind w:left="0" w:firstLine="0"/>
      <w:jc w:val="lef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0" w:right="60" w:firstLine="0"/>
      <w:jc w:val="center"/>
    </w:pPr>
    <w:r>
      <w:fldChar w:fldCharType="begin"/>
    </w:r>
    <w:r>
      <w:instrText xml:space="preserve"> PAGE   \* MERGEFORMAT </w:instrText>
    </w:r>
    <w:r>
      <w:fldChar w:fldCharType="separate"/>
    </w:r>
    <w:r>
      <w:t>1</w:t>
    </w:r>
    <w:r>
      <w:fldChar w:fldCharType="end"/>
    </w:r>
    <w:r>
      <w:t xml:space="preserve"> </w:t>
    </w:r>
  </w:p>
  <w:p w:rsidR="00524367" w:rsidRDefault="00FB31EA">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D99" w:rsidRDefault="006A6D99">
      <w:pPr>
        <w:spacing w:after="0" w:line="240" w:lineRule="auto"/>
      </w:pPr>
      <w:r>
        <w:separator/>
      </w:r>
    </w:p>
  </w:footnote>
  <w:footnote w:type="continuationSeparator" w:id="0">
    <w:p w:rsidR="006A6D99" w:rsidRDefault="006A6D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37" w:firstLine="0"/>
      <w:jc w:val="center"/>
    </w:pPr>
    <w:r>
      <w:rPr>
        <w:noProof/>
      </w:rPr>
      <w:drawing>
        <wp:anchor distT="0" distB="0" distL="114300" distR="114300" simplePos="0" relativeHeight="251658240" behindDoc="0" locked="0" layoutInCell="1" allowOverlap="0" wp14:anchorId="2534A581" wp14:editId="6FBE004E">
          <wp:simplePos x="0" y="0"/>
          <wp:positionH relativeFrom="page">
            <wp:posOffset>3416935</wp:posOffset>
          </wp:positionH>
          <wp:positionV relativeFrom="page">
            <wp:posOffset>359410</wp:posOffset>
          </wp:positionV>
          <wp:extent cx="723900" cy="72390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723900" cy="723900"/>
                  </a:xfrm>
                  <a:prstGeom prst="rect">
                    <a:avLst/>
                  </a:prstGeom>
                </pic:spPr>
              </pic:pic>
            </a:graphicData>
          </a:graphic>
        </wp:anchor>
      </w:drawing>
    </w:r>
    <w:r>
      <w:rPr>
        <w:i/>
        <w:sz w:val="40"/>
      </w:rPr>
      <w:t xml:space="preserve"> </w:t>
    </w:r>
  </w:p>
  <w:p w:rsidR="00524367" w:rsidRDefault="00FB31EA">
    <w:pPr>
      <w:spacing w:after="0" w:line="259" w:lineRule="auto"/>
      <w:ind w:left="0" w:right="38" w:firstLine="0"/>
      <w:jc w:val="center"/>
    </w:pPr>
    <w:r>
      <w:rPr>
        <w:rFonts w:ascii="Kunstler Script" w:eastAsia="Kunstler Script" w:hAnsi="Kunstler Script" w:cs="Kunstler Script"/>
        <w:sz w:val="30"/>
      </w:rPr>
      <w:t xml:space="preserve">Ministero dell’Istruzione, dell’Università e della Ricerca </w:t>
    </w:r>
  </w:p>
  <w:p w:rsidR="00524367" w:rsidRDefault="00FB31EA">
    <w:pPr>
      <w:spacing w:after="0" w:line="259" w:lineRule="auto"/>
      <w:ind w:left="0" w:right="65" w:firstLine="0"/>
      <w:jc w:val="center"/>
    </w:pPr>
    <w:r>
      <w:rPr>
        <w:i/>
      </w:rPr>
      <w:t>Dipartimento per la Formazione Superiore e per la Ricerca</w:t>
    </w:r>
    <w:r>
      <w:rPr>
        <w:b/>
      </w:rPr>
      <w:t xml:space="preserve"> </w:t>
    </w:r>
  </w:p>
  <w:p w:rsidR="00524367" w:rsidRDefault="00FB31EA">
    <w:pPr>
      <w:spacing w:after="0" w:line="259" w:lineRule="auto"/>
      <w:ind w:left="0" w:right="64" w:firstLine="0"/>
      <w:jc w:val="center"/>
    </w:pPr>
    <w:r>
      <w:t xml:space="preserve">Direzione Generale per il Coordinamento, la Promozione e la Valorizzazione della Ricerca </w:t>
    </w:r>
  </w:p>
  <w:p w:rsidR="00524367" w:rsidRDefault="00FB31EA">
    <w:pPr>
      <w:spacing w:after="0" w:line="259" w:lineRule="auto"/>
      <w:ind w:left="0" w:firstLine="0"/>
      <w:jc w:val="left"/>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37" w:firstLine="0"/>
      <w:jc w:val="center"/>
    </w:pPr>
    <w:r>
      <w:rPr>
        <w:noProof/>
      </w:rPr>
      <w:drawing>
        <wp:anchor distT="0" distB="0" distL="114300" distR="114300" simplePos="0" relativeHeight="251659264" behindDoc="0" locked="0" layoutInCell="1" allowOverlap="0" wp14:anchorId="671EA43F" wp14:editId="1D900517">
          <wp:simplePos x="0" y="0"/>
          <wp:positionH relativeFrom="page">
            <wp:posOffset>3416935</wp:posOffset>
          </wp:positionH>
          <wp:positionV relativeFrom="page">
            <wp:posOffset>359410</wp:posOffset>
          </wp:positionV>
          <wp:extent cx="723900" cy="723900"/>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723900" cy="723900"/>
                  </a:xfrm>
                  <a:prstGeom prst="rect">
                    <a:avLst/>
                  </a:prstGeom>
                </pic:spPr>
              </pic:pic>
            </a:graphicData>
          </a:graphic>
        </wp:anchor>
      </w:drawing>
    </w:r>
    <w:r>
      <w:rPr>
        <w:i/>
        <w:sz w:val="40"/>
      </w:rPr>
      <w:t xml:space="preserve"> </w:t>
    </w:r>
  </w:p>
  <w:p w:rsidR="003F3BB5" w:rsidRDefault="003F3BB5">
    <w:pPr>
      <w:spacing w:after="0" w:line="259" w:lineRule="auto"/>
      <w:ind w:left="0" w:right="38" w:firstLine="0"/>
      <w:jc w:val="center"/>
      <w:rPr>
        <w:rFonts w:ascii="Kunstler Script" w:eastAsia="Kunstler Script" w:hAnsi="Kunstler Script" w:cs="Kunstler Script"/>
        <w:sz w:val="30"/>
      </w:rPr>
    </w:pPr>
  </w:p>
  <w:p w:rsidR="003F3BB5" w:rsidRDefault="003F3BB5">
    <w:pPr>
      <w:spacing w:after="0" w:line="259" w:lineRule="auto"/>
      <w:ind w:left="0" w:right="38" w:firstLine="0"/>
      <w:jc w:val="center"/>
      <w:rPr>
        <w:rFonts w:ascii="Kunstler Script" w:eastAsia="Kunstler Script" w:hAnsi="Kunstler Script" w:cs="Kunstler Script"/>
        <w:sz w:val="30"/>
      </w:rPr>
    </w:pPr>
  </w:p>
  <w:p w:rsidR="003F3BB5" w:rsidRDefault="003F3BB5">
    <w:pPr>
      <w:spacing w:after="0" w:line="259" w:lineRule="auto"/>
      <w:ind w:left="0" w:right="38" w:firstLine="0"/>
      <w:jc w:val="center"/>
      <w:rPr>
        <w:rFonts w:ascii="Kunstler Script" w:eastAsia="Kunstler Script" w:hAnsi="Kunstler Script" w:cs="Kunstler Script"/>
        <w:sz w:val="30"/>
      </w:rPr>
    </w:pPr>
  </w:p>
  <w:p w:rsidR="00524367" w:rsidRDefault="00FB31EA">
    <w:pPr>
      <w:spacing w:after="0" w:line="259" w:lineRule="auto"/>
      <w:ind w:left="0" w:right="38" w:firstLine="0"/>
      <w:jc w:val="center"/>
    </w:pPr>
    <w:r>
      <w:rPr>
        <w:rFonts w:ascii="Kunstler Script" w:eastAsia="Kunstler Script" w:hAnsi="Kunstler Script" w:cs="Kunstler Script"/>
        <w:sz w:val="30"/>
      </w:rPr>
      <w:t xml:space="preserve">Ministero dell’Istruzione, dell’Università e della Ricerca </w:t>
    </w:r>
  </w:p>
  <w:p w:rsidR="00524367" w:rsidRDefault="00FB31EA">
    <w:pPr>
      <w:spacing w:after="0" w:line="259" w:lineRule="auto"/>
      <w:ind w:left="0" w:right="65" w:firstLine="0"/>
      <w:jc w:val="center"/>
    </w:pPr>
    <w:r>
      <w:rPr>
        <w:i/>
      </w:rPr>
      <w:t>Dipartimento per la Formazione Superiore e per la Ricerca</w:t>
    </w:r>
    <w:r>
      <w:rPr>
        <w:b/>
      </w:rPr>
      <w:t xml:space="preserve"> </w:t>
    </w:r>
  </w:p>
  <w:p w:rsidR="00524367" w:rsidRDefault="00FB31EA">
    <w:pPr>
      <w:spacing w:after="0" w:line="259" w:lineRule="auto"/>
      <w:ind w:left="0" w:right="64" w:firstLine="0"/>
      <w:jc w:val="center"/>
    </w:pPr>
    <w:r>
      <w:t xml:space="preserve">Direzione Generale per il Coordinamento, la Promozione e la Valorizzazione della Ricerca </w:t>
    </w:r>
  </w:p>
  <w:p w:rsidR="00524367" w:rsidRDefault="00FB31EA">
    <w:pPr>
      <w:spacing w:after="0" w:line="259" w:lineRule="auto"/>
      <w:ind w:left="0" w:firstLine="0"/>
      <w:jc w:val="left"/>
    </w:pPr>
    <w:r>
      <w:rPr>
        <w: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67" w:rsidRDefault="00FB31EA">
    <w:pPr>
      <w:spacing w:after="0" w:line="259" w:lineRule="auto"/>
      <w:ind w:left="37" w:firstLine="0"/>
      <w:jc w:val="center"/>
    </w:pPr>
    <w:r>
      <w:rPr>
        <w:noProof/>
      </w:rPr>
      <w:drawing>
        <wp:anchor distT="0" distB="0" distL="114300" distR="114300" simplePos="0" relativeHeight="251660288" behindDoc="0" locked="0" layoutInCell="1" allowOverlap="0" wp14:anchorId="39201507" wp14:editId="1ED386EF">
          <wp:simplePos x="0" y="0"/>
          <wp:positionH relativeFrom="page">
            <wp:posOffset>3416935</wp:posOffset>
          </wp:positionH>
          <wp:positionV relativeFrom="page">
            <wp:posOffset>359410</wp:posOffset>
          </wp:positionV>
          <wp:extent cx="723900" cy="723900"/>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723900" cy="723900"/>
                  </a:xfrm>
                  <a:prstGeom prst="rect">
                    <a:avLst/>
                  </a:prstGeom>
                </pic:spPr>
              </pic:pic>
            </a:graphicData>
          </a:graphic>
        </wp:anchor>
      </w:drawing>
    </w:r>
    <w:r>
      <w:rPr>
        <w:i/>
        <w:sz w:val="40"/>
      </w:rPr>
      <w:t xml:space="preserve"> </w:t>
    </w:r>
  </w:p>
  <w:p w:rsidR="00524367" w:rsidRDefault="00FB31EA">
    <w:pPr>
      <w:spacing w:after="0" w:line="259" w:lineRule="auto"/>
      <w:ind w:left="0" w:right="38" w:firstLine="0"/>
      <w:jc w:val="center"/>
    </w:pPr>
    <w:r>
      <w:rPr>
        <w:rFonts w:ascii="Kunstler Script" w:eastAsia="Kunstler Script" w:hAnsi="Kunstler Script" w:cs="Kunstler Script"/>
        <w:sz w:val="30"/>
      </w:rPr>
      <w:t xml:space="preserve">Ministero dell’Istruzione, dell’Università e della Ricerca </w:t>
    </w:r>
  </w:p>
  <w:p w:rsidR="00524367" w:rsidRDefault="00FB31EA">
    <w:pPr>
      <w:spacing w:after="0" w:line="259" w:lineRule="auto"/>
      <w:ind w:left="0" w:right="65" w:firstLine="0"/>
      <w:jc w:val="center"/>
    </w:pPr>
    <w:r>
      <w:rPr>
        <w:i/>
      </w:rPr>
      <w:t>Dipartimento per la Formazione Superiore e per la Ricerca</w:t>
    </w:r>
    <w:r>
      <w:rPr>
        <w:b/>
      </w:rPr>
      <w:t xml:space="preserve"> </w:t>
    </w:r>
  </w:p>
  <w:p w:rsidR="00524367" w:rsidRDefault="00FB31EA">
    <w:pPr>
      <w:spacing w:after="0" w:line="259" w:lineRule="auto"/>
      <w:ind w:left="0" w:right="64" w:firstLine="0"/>
      <w:jc w:val="center"/>
    </w:pPr>
    <w:r>
      <w:t xml:space="preserve">Direzione Generale per il Coordinamento, la Promozione e la Valorizzazione della Ricerca </w:t>
    </w:r>
  </w:p>
  <w:p w:rsidR="00524367" w:rsidRDefault="00FB31EA">
    <w:pPr>
      <w:spacing w:after="0" w:line="259" w:lineRule="auto"/>
      <w:ind w:left="0" w:firstLine="0"/>
      <w:jc w:val="left"/>
    </w:pPr>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A28DF"/>
    <w:multiLevelType w:val="hybridMultilevel"/>
    <w:tmpl w:val="4CAE198E"/>
    <w:lvl w:ilvl="0" w:tplc="B0C4F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B55E15"/>
    <w:multiLevelType w:val="hybridMultilevel"/>
    <w:tmpl w:val="36FA83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7B976DE"/>
    <w:multiLevelType w:val="hybridMultilevel"/>
    <w:tmpl w:val="18F016C4"/>
    <w:lvl w:ilvl="0" w:tplc="D23CDB66">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57E236C"/>
    <w:multiLevelType w:val="hybridMultilevel"/>
    <w:tmpl w:val="6118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D2010A"/>
    <w:multiLevelType w:val="hybridMultilevel"/>
    <w:tmpl w:val="28546D2A"/>
    <w:lvl w:ilvl="0" w:tplc="A34892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BA8777F"/>
    <w:multiLevelType w:val="hybridMultilevel"/>
    <w:tmpl w:val="81287670"/>
    <w:lvl w:ilvl="0" w:tplc="12A6AAA8">
      <w:start w:val="1"/>
      <w:numFmt w:val="decimal"/>
      <w:lvlText w:val="%1)"/>
      <w:lvlJc w:val="left"/>
      <w:pPr>
        <w:ind w:left="345" w:hanging="360"/>
      </w:pPr>
      <w:rPr>
        <w:rFonts w:hint="default"/>
        <w:b/>
        <w:color w:val="C00000"/>
      </w:rPr>
    </w:lvl>
    <w:lvl w:ilvl="1" w:tplc="04100019" w:tentative="1">
      <w:start w:val="1"/>
      <w:numFmt w:val="lowerLetter"/>
      <w:lvlText w:val="%2."/>
      <w:lvlJc w:val="left"/>
      <w:pPr>
        <w:ind w:left="1065" w:hanging="360"/>
      </w:pPr>
    </w:lvl>
    <w:lvl w:ilvl="2" w:tplc="0410001B" w:tentative="1">
      <w:start w:val="1"/>
      <w:numFmt w:val="lowerRoman"/>
      <w:lvlText w:val="%3."/>
      <w:lvlJc w:val="right"/>
      <w:pPr>
        <w:ind w:left="1785" w:hanging="180"/>
      </w:pPr>
    </w:lvl>
    <w:lvl w:ilvl="3" w:tplc="0410000F" w:tentative="1">
      <w:start w:val="1"/>
      <w:numFmt w:val="decimal"/>
      <w:lvlText w:val="%4."/>
      <w:lvlJc w:val="left"/>
      <w:pPr>
        <w:ind w:left="2505" w:hanging="360"/>
      </w:pPr>
    </w:lvl>
    <w:lvl w:ilvl="4" w:tplc="04100019" w:tentative="1">
      <w:start w:val="1"/>
      <w:numFmt w:val="lowerLetter"/>
      <w:lvlText w:val="%5."/>
      <w:lvlJc w:val="left"/>
      <w:pPr>
        <w:ind w:left="3225" w:hanging="360"/>
      </w:pPr>
    </w:lvl>
    <w:lvl w:ilvl="5" w:tplc="0410001B" w:tentative="1">
      <w:start w:val="1"/>
      <w:numFmt w:val="lowerRoman"/>
      <w:lvlText w:val="%6."/>
      <w:lvlJc w:val="right"/>
      <w:pPr>
        <w:ind w:left="3945" w:hanging="180"/>
      </w:pPr>
    </w:lvl>
    <w:lvl w:ilvl="6" w:tplc="0410000F" w:tentative="1">
      <w:start w:val="1"/>
      <w:numFmt w:val="decimal"/>
      <w:lvlText w:val="%7."/>
      <w:lvlJc w:val="left"/>
      <w:pPr>
        <w:ind w:left="4665" w:hanging="360"/>
      </w:pPr>
    </w:lvl>
    <w:lvl w:ilvl="7" w:tplc="04100019" w:tentative="1">
      <w:start w:val="1"/>
      <w:numFmt w:val="lowerLetter"/>
      <w:lvlText w:val="%8."/>
      <w:lvlJc w:val="left"/>
      <w:pPr>
        <w:ind w:left="5385" w:hanging="360"/>
      </w:pPr>
    </w:lvl>
    <w:lvl w:ilvl="8" w:tplc="0410001B" w:tentative="1">
      <w:start w:val="1"/>
      <w:numFmt w:val="lowerRoman"/>
      <w:lvlText w:val="%9."/>
      <w:lvlJc w:val="right"/>
      <w:pPr>
        <w:ind w:left="6105" w:hanging="180"/>
      </w:pPr>
    </w:lvl>
  </w:abstractNum>
  <w:abstractNum w:abstractNumId="6">
    <w:nsid w:val="5DC52541"/>
    <w:multiLevelType w:val="hybridMultilevel"/>
    <w:tmpl w:val="7514185C"/>
    <w:lvl w:ilvl="0" w:tplc="090C8A2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E22024A">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A8664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647C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9A886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B29AA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0EE47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A8552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AC6F8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652931BF"/>
    <w:multiLevelType w:val="hybridMultilevel"/>
    <w:tmpl w:val="7514185C"/>
    <w:lvl w:ilvl="0" w:tplc="090C8A2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E22024A">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A8664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647C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9A886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B29AA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0EE47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A8552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AC6F8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6DC31A17"/>
    <w:multiLevelType w:val="hybridMultilevel"/>
    <w:tmpl w:val="70C0F82E"/>
    <w:lvl w:ilvl="0" w:tplc="2138DA1E">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7012B3D"/>
    <w:multiLevelType w:val="hybridMultilevel"/>
    <w:tmpl w:val="2F0ADE9E"/>
    <w:lvl w:ilvl="0" w:tplc="E870C0B4">
      <w:start w:val="1"/>
      <w:numFmt w:val="decimal"/>
      <w:lvlText w:val="%1)"/>
      <w:lvlJc w:val="left"/>
      <w:pPr>
        <w:ind w:left="502" w:hanging="360"/>
      </w:pPr>
      <w:rPr>
        <w:rFonts w:hint="default"/>
        <w:b/>
        <w:i w:val="0"/>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77E32032"/>
    <w:multiLevelType w:val="hybridMultilevel"/>
    <w:tmpl w:val="7514185C"/>
    <w:lvl w:ilvl="0" w:tplc="090C8A2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E22024A">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A8664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647C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9A886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B29AA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0EE47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A8552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AC6F8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7EF978A6"/>
    <w:multiLevelType w:val="hybridMultilevel"/>
    <w:tmpl w:val="C01C6B1A"/>
    <w:lvl w:ilvl="0" w:tplc="A34892FE">
      <w:start w:val="1"/>
      <w:numFmt w:val="bullet"/>
      <w:lvlText w:val=""/>
      <w:lvlJc w:val="left"/>
      <w:pPr>
        <w:ind w:left="360"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7"/>
  </w:num>
  <w:num w:numId="2">
    <w:abstractNumId w:val="3"/>
  </w:num>
  <w:num w:numId="3">
    <w:abstractNumId w:val="4"/>
  </w:num>
  <w:num w:numId="4">
    <w:abstractNumId w:val="11"/>
  </w:num>
  <w:num w:numId="5">
    <w:abstractNumId w:val="10"/>
  </w:num>
  <w:num w:numId="6">
    <w:abstractNumId w:val="6"/>
  </w:num>
  <w:num w:numId="7">
    <w:abstractNumId w:val="1"/>
  </w:num>
  <w:num w:numId="8">
    <w:abstractNumId w:val="0"/>
  </w:num>
  <w:num w:numId="9">
    <w:abstractNumId w:val="2"/>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367"/>
    <w:rsid w:val="00004936"/>
    <w:rsid w:val="00027A71"/>
    <w:rsid w:val="000304E0"/>
    <w:rsid w:val="00034ECB"/>
    <w:rsid w:val="0006515B"/>
    <w:rsid w:val="00067D39"/>
    <w:rsid w:val="000732EE"/>
    <w:rsid w:val="0008002B"/>
    <w:rsid w:val="000951D0"/>
    <w:rsid w:val="000A1F6A"/>
    <w:rsid w:val="000A5D81"/>
    <w:rsid w:val="000A7396"/>
    <w:rsid w:val="000E1B27"/>
    <w:rsid w:val="00103A70"/>
    <w:rsid w:val="00114C60"/>
    <w:rsid w:val="001163AF"/>
    <w:rsid w:val="00117A05"/>
    <w:rsid w:val="0013604D"/>
    <w:rsid w:val="00137A05"/>
    <w:rsid w:val="00142340"/>
    <w:rsid w:val="00193B34"/>
    <w:rsid w:val="001A1AE8"/>
    <w:rsid w:val="001A2A9D"/>
    <w:rsid w:val="001C56A4"/>
    <w:rsid w:val="001D2BAF"/>
    <w:rsid w:val="001E729E"/>
    <w:rsid w:val="00221111"/>
    <w:rsid w:val="00224FCB"/>
    <w:rsid w:val="0022704C"/>
    <w:rsid w:val="002454CC"/>
    <w:rsid w:val="00255856"/>
    <w:rsid w:val="0026050B"/>
    <w:rsid w:val="002819AF"/>
    <w:rsid w:val="0029279A"/>
    <w:rsid w:val="0029695B"/>
    <w:rsid w:val="002A1076"/>
    <w:rsid w:val="002B44C0"/>
    <w:rsid w:val="002C289B"/>
    <w:rsid w:val="002C3753"/>
    <w:rsid w:val="002D7590"/>
    <w:rsid w:val="002E3665"/>
    <w:rsid w:val="002F04A0"/>
    <w:rsid w:val="00310B7F"/>
    <w:rsid w:val="0031518C"/>
    <w:rsid w:val="00371297"/>
    <w:rsid w:val="0038631C"/>
    <w:rsid w:val="00386B68"/>
    <w:rsid w:val="00386C13"/>
    <w:rsid w:val="003A0376"/>
    <w:rsid w:val="003A2A00"/>
    <w:rsid w:val="003B6CCF"/>
    <w:rsid w:val="003C1006"/>
    <w:rsid w:val="003F3BB5"/>
    <w:rsid w:val="00460F21"/>
    <w:rsid w:val="00467E58"/>
    <w:rsid w:val="004834CB"/>
    <w:rsid w:val="00492A42"/>
    <w:rsid w:val="00494620"/>
    <w:rsid w:val="004B216D"/>
    <w:rsid w:val="004E34BC"/>
    <w:rsid w:val="004E38E6"/>
    <w:rsid w:val="004F6C39"/>
    <w:rsid w:val="0050345E"/>
    <w:rsid w:val="00505B54"/>
    <w:rsid w:val="00520529"/>
    <w:rsid w:val="00524367"/>
    <w:rsid w:val="005363E9"/>
    <w:rsid w:val="005471B6"/>
    <w:rsid w:val="00567739"/>
    <w:rsid w:val="0057496A"/>
    <w:rsid w:val="00577046"/>
    <w:rsid w:val="00585471"/>
    <w:rsid w:val="00597E12"/>
    <w:rsid w:val="005A164B"/>
    <w:rsid w:val="005F29C1"/>
    <w:rsid w:val="00605D77"/>
    <w:rsid w:val="00657608"/>
    <w:rsid w:val="006660CD"/>
    <w:rsid w:val="00676EF1"/>
    <w:rsid w:val="00677EE9"/>
    <w:rsid w:val="00690C75"/>
    <w:rsid w:val="00691C6F"/>
    <w:rsid w:val="00694938"/>
    <w:rsid w:val="0069585E"/>
    <w:rsid w:val="006A3685"/>
    <w:rsid w:val="006A6D99"/>
    <w:rsid w:val="006C3447"/>
    <w:rsid w:val="006C76ED"/>
    <w:rsid w:val="006D5261"/>
    <w:rsid w:val="006D6E4D"/>
    <w:rsid w:val="006E1EC4"/>
    <w:rsid w:val="00716CBC"/>
    <w:rsid w:val="00724CDC"/>
    <w:rsid w:val="007741FC"/>
    <w:rsid w:val="00777522"/>
    <w:rsid w:val="007B6526"/>
    <w:rsid w:val="007B75FA"/>
    <w:rsid w:val="007C048D"/>
    <w:rsid w:val="007D007A"/>
    <w:rsid w:val="007F3B3C"/>
    <w:rsid w:val="008028E4"/>
    <w:rsid w:val="00830937"/>
    <w:rsid w:val="00841BCC"/>
    <w:rsid w:val="00850BBB"/>
    <w:rsid w:val="008613F2"/>
    <w:rsid w:val="00867292"/>
    <w:rsid w:val="0086769E"/>
    <w:rsid w:val="008A1596"/>
    <w:rsid w:val="008B1636"/>
    <w:rsid w:val="008B534A"/>
    <w:rsid w:val="008B5E85"/>
    <w:rsid w:val="008E5A14"/>
    <w:rsid w:val="008F09A2"/>
    <w:rsid w:val="009153BD"/>
    <w:rsid w:val="00921C56"/>
    <w:rsid w:val="00924859"/>
    <w:rsid w:val="00930B7D"/>
    <w:rsid w:val="00936C9C"/>
    <w:rsid w:val="00937698"/>
    <w:rsid w:val="00944766"/>
    <w:rsid w:val="00953BD8"/>
    <w:rsid w:val="009D7195"/>
    <w:rsid w:val="00A00980"/>
    <w:rsid w:val="00A062D2"/>
    <w:rsid w:val="00A17C06"/>
    <w:rsid w:val="00A26535"/>
    <w:rsid w:val="00A6067D"/>
    <w:rsid w:val="00A67F1C"/>
    <w:rsid w:val="00A734E5"/>
    <w:rsid w:val="00A95D12"/>
    <w:rsid w:val="00AA1952"/>
    <w:rsid w:val="00AC25DD"/>
    <w:rsid w:val="00AD10C8"/>
    <w:rsid w:val="00AD68DF"/>
    <w:rsid w:val="00B05B67"/>
    <w:rsid w:val="00B23527"/>
    <w:rsid w:val="00B330C1"/>
    <w:rsid w:val="00B36CF3"/>
    <w:rsid w:val="00B37B6B"/>
    <w:rsid w:val="00B73072"/>
    <w:rsid w:val="00B81AA1"/>
    <w:rsid w:val="00B92621"/>
    <w:rsid w:val="00BD029D"/>
    <w:rsid w:val="00BE524A"/>
    <w:rsid w:val="00BF75CD"/>
    <w:rsid w:val="00C0482B"/>
    <w:rsid w:val="00C1191C"/>
    <w:rsid w:val="00C20693"/>
    <w:rsid w:val="00C328BB"/>
    <w:rsid w:val="00C829F4"/>
    <w:rsid w:val="00C849C2"/>
    <w:rsid w:val="00C8642F"/>
    <w:rsid w:val="00CB61D8"/>
    <w:rsid w:val="00CC52B6"/>
    <w:rsid w:val="00CD0D17"/>
    <w:rsid w:val="00CE3368"/>
    <w:rsid w:val="00CE5256"/>
    <w:rsid w:val="00CE6AD5"/>
    <w:rsid w:val="00CF2E2C"/>
    <w:rsid w:val="00D10238"/>
    <w:rsid w:val="00D20FA4"/>
    <w:rsid w:val="00D41B0E"/>
    <w:rsid w:val="00D528E6"/>
    <w:rsid w:val="00D563C2"/>
    <w:rsid w:val="00D623AC"/>
    <w:rsid w:val="00D83C14"/>
    <w:rsid w:val="00DA19A9"/>
    <w:rsid w:val="00DA69BB"/>
    <w:rsid w:val="00DB096A"/>
    <w:rsid w:val="00DB11F3"/>
    <w:rsid w:val="00DC707B"/>
    <w:rsid w:val="00DF0EB2"/>
    <w:rsid w:val="00E06E6A"/>
    <w:rsid w:val="00E16C31"/>
    <w:rsid w:val="00E201A6"/>
    <w:rsid w:val="00E2245F"/>
    <w:rsid w:val="00E27853"/>
    <w:rsid w:val="00E3550F"/>
    <w:rsid w:val="00E359C2"/>
    <w:rsid w:val="00E36C8D"/>
    <w:rsid w:val="00E41ADA"/>
    <w:rsid w:val="00E57613"/>
    <w:rsid w:val="00E72ABF"/>
    <w:rsid w:val="00E772A8"/>
    <w:rsid w:val="00E955DB"/>
    <w:rsid w:val="00EA2C8D"/>
    <w:rsid w:val="00EA54E5"/>
    <w:rsid w:val="00EB18C2"/>
    <w:rsid w:val="00EC0E08"/>
    <w:rsid w:val="00EC6FD8"/>
    <w:rsid w:val="00EE23D1"/>
    <w:rsid w:val="00EF72B5"/>
    <w:rsid w:val="00F232A8"/>
    <w:rsid w:val="00F2761F"/>
    <w:rsid w:val="00F54119"/>
    <w:rsid w:val="00F62EF6"/>
    <w:rsid w:val="00F8264E"/>
    <w:rsid w:val="00F93F8E"/>
    <w:rsid w:val="00FA0072"/>
    <w:rsid w:val="00FB115C"/>
    <w:rsid w:val="00FB31EA"/>
    <w:rsid w:val="00FC0B24"/>
    <w:rsid w:val="00FC6DF2"/>
    <w:rsid w:val="00FD5E86"/>
    <w:rsid w:val="00FD7B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67" w:lineRule="auto"/>
      <w:ind w:left="10" w:hanging="10"/>
      <w:jc w:val="both"/>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28E6"/>
    <w:pPr>
      <w:ind w:left="720"/>
      <w:contextualSpacing/>
    </w:pPr>
  </w:style>
  <w:style w:type="paragraph" w:styleId="NormaleWeb">
    <w:name w:val="Normal (Web)"/>
    <w:basedOn w:val="Normale"/>
    <w:uiPriority w:val="99"/>
    <w:semiHidden/>
    <w:unhideWhenUsed/>
    <w:rsid w:val="008B1636"/>
    <w:pPr>
      <w:spacing w:before="100" w:beforeAutospacing="1" w:after="100" w:afterAutospacing="1" w:line="240" w:lineRule="auto"/>
      <w:ind w:left="0" w:firstLine="0"/>
      <w:jc w:val="left"/>
    </w:pPr>
    <w:rPr>
      <w:color w:val="auto"/>
      <w:szCs w:val="24"/>
    </w:rPr>
  </w:style>
  <w:style w:type="character" w:styleId="Collegamentoipertestuale">
    <w:name w:val="Hyperlink"/>
    <w:basedOn w:val="Carpredefinitoparagrafo"/>
    <w:uiPriority w:val="99"/>
    <w:semiHidden/>
    <w:unhideWhenUsed/>
    <w:rsid w:val="008B16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67" w:lineRule="auto"/>
      <w:ind w:left="10" w:hanging="10"/>
      <w:jc w:val="both"/>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28E6"/>
    <w:pPr>
      <w:ind w:left="720"/>
      <w:contextualSpacing/>
    </w:pPr>
  </w:style>
  <w:style w:type="paragraph" w:styleId="NormaleWeb">
    <w:name w:val="Normal (Web)"/>
    <w:basedOn w:val="Normale"/>
    <w:uiPriority w:val="99"/>
    <w:semiHidden/>
    <w:unhideWhenUsed/>
    <w:rsid w:val="008B1636"/>
    <w:pPr>
      <w:spacing w:before="100" w:beforeAutospacing="1" w:after="100" w:afterAutospacing="1" w:line="240" w:lineRule="auto"/>
      <w:ind w:left="0" w:firstLine="0"/>
      <w:jc w:val="left"/>
    </w:pPr>
    <w:rPr>
      <w:color w:val="auto"/>
      <w:szCs w:val="24"/>
    </w:rPr>
  </w:style>
  <w:style w:type="character" w:styleId="Collegamentoipertestuale">
    <w:name w:val="Hyperlink"/>
    <w:basedOn w:val="Carpredefinitoparagrafo"/>
    <w:uiPriority w:val="99"/>
    <w:semiHidden/>
    <w:unhideWhenUsed/>
    <w:rsid w:val="008B1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4960">
      <w:bodyDiv w:val="1"/>
      <w:marLeft w:val="0"/>
      <w:marRight w:val="0"/>
      <w:marTop w:val="0"/>
      <w:marBottom w:val="0"/>
      <w:divBdr>
        <w:top w:val="none" w:sz="0" w:space="0" w:color="auto"/>
        <w:left w:val="none" w:sz="0" w:space="0" w:color="auto"/>
        <w:bottom w:val="none" w:sz="0" w:space="0" w:color="auto"/>
        <w:right w:val="none" w:sz="0" w:space="0" w:color="auto"/>
      </w:divBdr>
    </w:div>
    <w:div w:id="191381722">
      <w:bodyDiv w:val="1"/>
      <w:marLeft w:val="0"/>
      <w:marRight w:val="0"/>
      <w:marTop w:val="0"/>
      <w:marBottom w:val="0"/>
      <w:divBdr>
        <w:top w:val="none" w:sz="0" w:space="0" w:color="auto"/>
        <w:left w:val="none" w:sz="0" w:space="0" w:color="auto"/>
        <w:bottom w:val="none" w:sz="0" w:space="0" w:color="auto"/>
        <w:right w:val="none" w:sz="0" w:space="0" w:color="auto"/>
      </w:divBdr>
    </w:div>
    <w:div w:id="678506736">
      <w:bodyDiv w:val="1"/>
      <w:marLeft w:val="0"/>
      <w:marRight w:val="0"/>
      <w:marTop w:val="0"/>
      <w:marBottom w:val="0"/>
      <w:divBdr>
        <w:top w:val="none" w:sz="0" w:space="0" w:color="auto"/>
        <w:left w:val="none" w:sz="0" w:space="0" w:color="auto"/>
        <w:bottom w:val="none" w:sz="0" w:space="0" w:color="auto"/>
        <w:right w:val="none" w:sz="0" w:space="0" w:color="auto"/>
      </w:divBdr>
      <w:divsChild>
        <w:div w:id="13752777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0105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ur.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iur.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2016_0050.htm"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osettiegatti.eu/info/norme/statali/2016_0050.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399AE-541C-40EF-ADC7-187EF1D3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2226</Words>
  <Characters>12691</Characters>
  <Application>Microsoft Office Word</Application>
  <DocSecurity>0</DocSecurity>
  <Lines>105</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PricewaterhouseCoopers</Company>
  <LinksUpToDate>false</LinksUpToDate>
  <CharactersWithSpaces>14888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dc:creator>
  <cp:lastModifiedBy>Masi Luigi</cp:lastModifiedBy>
  <cp:revision>2</cp:revision>
  <dcterms:created xsi:type="dcterms:W3CDTF">2018-02-08T09:20:00Z</dcterms:created>
  <dcterms:modified xsi:type="dcterms:W3CDTF">2018-02-08T09:20:00Z</dcterms:modified>
</cp:coreProperties>
</file>