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5C" w:rsidRDefault="006E115C" w:rsidP="006E115C">
      <w:pPr>
        <w:pStyle w:val="Standard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it-IT" w:eastAsia="it-IT" w:bidi="ar-SA"/>
        </w:rPr>
      </w:pPr>
      <w:bookmarkStart w:id="0" w:name="_GoBack"/>
      <w:bookmarkEnd w:id="0"/>
    </w:p>
    <w:p w:rsidR="006E115C" w:rsidRDefault="006E115C" w:rsidP="006E115C">
      <w:pPr>
        <w:pStyle w:val="Standard"/>
        <w:jc w:val="both"/>
        <w:rPr>
          <w:rFonts w:ascii="Times New Roman" w:hAnsi="Times New Roman" w:cs="Times New Roman"/>
          <w:b/>
        </w:rPr>
      </w:pPr>
      <w:r w:rsidRPr="006E115C">
        <w:rPr>
          <w:rFonts w:ascii="Times New Roman" w:hAnsi="Times New Roman" w:cs="Times New Roman"/>
          <w:b/>
        </w:rPr>
        <w:t>Progetto ESABAC</w:t>
      </w:r>
      <w:r w:rsidR="00D8536F">
        <w:rPr>
          <w:rFonts w:ascii="Times New Roman" w:hAnsi="Times New Roman" w:cs="Times New Roman"/>
          <w:b/>
        </w:rPr>
        <w:t>. Seminario di formazione  per d</w:t>
      </w:r>
      <w:r w:rsidRPr="006E115C">
        <w:rPr>
          <w:rFonts w:ascii="Times New Roman" w:hAnsi="Times New Roman" w:cs="Times New Roman"/>
          <w:b/>
        </w:rPr>
        <w:t xml:space="preserve">ocenti esperti </w:t>
      </w:r>
      <w:r w:rsidR="00D8536F">
        <w:rPr>
          <w:rFonts w:ascii="Times New Roman" w:hAnsi="Times New Roman" w:cs="Times New Roman"/>
          <w:b/>
        </w:rPr>
        <w:t xml:space="preserve">di Lingua e cultura francese e di Storia </w:t>
      </w:r>
      <w:r w:rsidRPr="006E115C">
        <w:rPr>
          <w:rFonts w:ascii="Times New Roman" w:hAnsi="Times New Roman" w:cs="Times New Roman"/>
          <w:b/>
        </w:rPr>
        <w:t>e referenti UU</w:t>
      </w:r>
      <w:r w:rsidR="00B01DE8">
        <w:rPr>
          <w:rFonts w:ascii="Times New Roman" w:hAnsi="Times New Roman" w:cs="Times New Roman"/>
          <w:b/>
        </w:rPr>
        <w:t>.</w:t>
      </w:r>
      <w:r w:rsidRPr="006E115C">
        <w:rPr>
          <w:rFonts w:ascii="Times New Roman" w:hAnsi="Times New Roman" w:cs="Times New Roman"/>
          <w:b/>
        </w:rPr>
        <w:t>SS</w:t>
      </w:r>
      <w:r w:rsidR="00B01DE8">
        <w:rPr>
          <w:rFonts w:ascii="Times New Roman" w:hAnsi="Times New Roman" w:cs="Times New Roman"/>
          <w:b/>
        </w:rPr>
        <w:t>.</w:t>
      </w:r>
      <w:r w:rsidRPr="006E115C">
        <w:rPr>
          <w:rFonts w:ascii="Times New Roman" w:hAnsi="Times New Roman" w:cs="Times New Roman"/>
          <w:b/>
        </w:rPr>
        <w:t xml:space="preserve">RR. Roma, 17 – 19 maggio 2017.  </w:t>
      </w:r>
    </w:p>
    <w:p w:rsidR="006E115C" w:rsidRPr="006E115C" w:rsidRDefault="006E115C" w:rsidP="006E115C">
      <w:pPr>
        <w:pStyle w:val="Standard"/>
        <w:jc w:val="both"/>
        <w:rPr>
          <w:rFonts w:ascii="Times New Roman" w:eastAsia="Times New Roman" w:hAnsi="Times New Roman" w:cs="Times New Roman"/>
          <w:b/>
          <w:kern w:val="0"/>
          <w:lang w:val="it-IT" w:eastAsia="it-IT" w:bidi="ar-SA"/>
        </w:rPr>
      </w:pPr>
    </w:p>
    <w:p w:rsidR="00B01DE8" w:rsidRDefault="00B01DE8" w:rsidP="00B01DE8">
      <w:pPr>
        <w:overflowPunct/>
        <w:jc w:val="both"/>
        <w:rPr>
          <w:rFonts w:eastAsiaTheme="minorHAnsi"/>
          <w:i w:val="0"/>
          <w:color w:val="1B1619"/>
          <w:sz w:val="24"/>
          <w:szCs w:val="24"/>
          <w:lang w:eastAsia="en-US"/>
        </w:rPr>
      </w:pPr>
      <w:r>
        <w:rPr>
          <w:rFonts w:eastAsiaTheme="minorHAnsi"/>
          <w:i w:val="0"/>
          <w:color w:val="1B1619"/>
          <w:sz w:val="24"/>
          <w:szCs w:val="24"/>
          <w:lang w:eastAsia="en-US"/>
        </w:rPr>
        <w:t>N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el quadro di un partenariato bilaterale italo-francese 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tra la D.G. per gli ordinamenti scolastici e la valutazione 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del 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sistema nazionale di istruzione, 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l'Institut f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>rançais dell'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Ambasciata di Francia in Italia e l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'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E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.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S.E</w:t>
      </w:r>
      <w:r w:rsidRPr="00AC7C5A">
        <w:rPr>
          <w:rFonts w:eastAsiaTheme="minorHAnsi"/>
          <w:i w:val="0"/>
          <w:color w:val="070305"/>
          <w:sz w:val="24"/>
          <w:szCs w:val="24"/>
          <w:lang w:eastAsia="en-US"/>
        </w:rPr>
        <w:t>.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N.E.S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.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R</w:t>
      </w:r>
      <w:r w:rsidRPr="00AC7C5A">
        <w:rPr>
          <w:rFonts w:eastAsiaTheme="minorHAnsi"/>
          <w:i w:val="0"/>
          <w:color w:val="070305"/>
          <w:sz w:val="24"/>
          <w:szCs w:val="24"/>
          <w:lang w:eastAsia="en-US"/>
        </w:rPr>
        <w:t xml:space="preserve">. 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(École Supérieure de l'Éducation Nati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o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nale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 xml:space="preserve">, 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de </w:t>
      </w:r>
      <w:r w:rsidRPr="00AC7C5A">
        <w:rPr>
          <w:rFonts w:eastAsiaTheme="minorHAnsi"/>
          <w:i w:val="0"/>
          <w:color w:val="CFCECF"/>
          <w:sz w:val="24"/>
          <w:szCs w:val="24"/>
          <w:lang w:eastAsia="en-US"/>
        </w:rPr>
        <w:t>.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l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'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En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s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eignement Supérieur et de la Recherche) del Ministero dell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'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educa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z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ione fr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a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nce</w:t>
      </w:r>
      <w:r w:rsidRPr="00AC7C5A">
        <w:rPr>
          <w:rFonts w:eastAsiaTheme="minorHAnsi"/>
          <w:i w:val="0"/>
          <w:color w:val="312B2E"/>
          <w:sz w:val="24"/>
          <w:szCs w:val="24"/>
          <w:lang w:eastAsia="en-US"/>
        </w:rPr>
        <w:t>s</w:t>
      </w:r>
      <w:r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e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, </w:t>
      </w:r>
      <w:r w:rsidR="006E115C"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>si terrà a Roma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>, dal 17 al 19 maggio 2017,</w:t>
      </w:r>
      <w:r w:rsidR="006E115C" w:rsidRPr="00AC7C5A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 un seminario di formazione 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>rivolto ai</w:t>
      </w:r>
      <w:r w:rsidRPr="00AC7C5A">
        <w:rPr>
          <w:i w:val="0"/>
          <w:sz w:val="24"/>
          <w:szCs w:val="24"/>
        </w:rPr>
        <w:t xml:space="preserve"> docenti esperti di Lingua e cultura francese e di Storia </w:t>
      </w:r>
      <w:r w:rsidR="00F62E11">
        <w:rPr>
          <w:i w:val="0"/>
          <w:sz w:val="24"/>
          <w:szCs w:val="24"/>
        </w:rPr>
        <w:t xml:space="preserve"> - </w:t>
      </w:r>
      <w:r w:rsidRPr="00AC7C5A">
        <w:rPr>
          <w:i w:val="0"/>
          <w:sz w:val="24"/>
          <w:szCs w:val="24"/>
        </w:rPr>
        <w:t>individuati da</w:t>
      </w:r>
      <w:r w:rsidRPr="006548F3">
        <w:rPr>
          <w:i w:val="0"/>
          <w:sz w:val="24"/>
          <w:szCs w:val="24"/>
        </w:rPr>
        <w:t xml:space="preserve">gli Uffici </w:t>
      </w:r>
      <w:r w:rsidRPr="00AC7C5A">
        <w:rPr>
          <w:i w:val="0"/>
          <w:sz w:val="24"/>
          <w:szCs w:val="24"/>
        </w:rPr>
        <w:t>scolastici regionali</w:t>
      </w:r>
      <w:r>
        <w:rPr>
          <w:i w:val="0"/>
          <w:sz w:val="24"/>
          <w:szCs w:val="24"/>
        </w:rPr>
        <w:t xml:space="preserve"> secondo la Nota MIUR </w:t>
      </w:r>
      <w:r w:rsidRPr="00B01DE8">
        <w:rPr>
          <w:rFonts w:eastAsiaTheme="minorHAnsi"/>
          <w:i w:val="0"/>
          <w:color w:val="1B1619"/>
          <w:sz w:val="24"/>
          <w:szCs w:val="24"/>
          <w:lang w:eastAsia="en-US"/>
        </w:rPr>
        <w:t>prot. n. 3115 del 21/03/2017</w:t>
      </w:r>
      <w:r w:rsidR="00F62E11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 - </w:t>
      </w:r>
      <w:r w:rsidRPr="00B01DE8">
        <w:rPr>
          <w:rFonts w:eastAsiaTheme="minorHAnsi"/>
          <w:i w:val="0"/>
          <w:color w:val="1B1619"/>
          <w:sz w:val="24"/>
          <w:szCs w:val="24"/>
          <w:lang w:eastAsia="en-US"/>
        </w:rPr>
        <w:t xml:space="preserve"> e </w:t>
      </w:r>
      <w:r>
        <w:rPr>
          <w:rFonts w:eastAsiaTheme="minorHAnsi"/>
          <w:i w:val="0"/>
          <w:color w:val="1B1619"/>
          <w:sz w:val="24"/>
          <w:szCs w:val="24"/>
          <w:lang w:eastAsia="en-US"/>
        </w:rPr>
        <w:t>ai r</w:t>
      </w:r>
      <w:r w:rsidRPr="00B01DE8">
        <w:rPr>
          <w:rFonts w:eastAsiaTheme="minorHAnsi"/>
          <w:i w:val="0"/>
          <w:color w:val="1B1619"/>
          <w:sz w:val="24"/>
          <w:szCs w:val="24"/>
          <w:lang w:eastAsia="en-US"/>
        </w:rPr>
        <w:t>eferenti EsaBac presso gli UU.SS.RR.</w:t>
      </w:r>
    </w:p>
    <w:p w:rsidR="001A10BE" w:rsidRDefault="001A10BE" w:rsidP="00B01DE8">
      <w:pPr>
        <w:overflowPunct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L</w:t>
      </w:r>
      <w:r w:rsidR="009767EE" w:rsidRPr="009767EE">
        <w:rPr>
          <w:i w:val="0"/>
          <w:sz w:val="24"/>
          <w:szCs w:val="24"/>
        </w:rPr>
        <w:t xml:space="preserve">’iniziativa mira a sviluppare nei docenti partecipanti le competenze più adeguate </w:t>
      </w:r>
      <w:r w:rsidR="00A3701C">
        <w:rPr>
          <w:i w:val="0"/>
          <w:sz w:val="24"/>
          <w:szCs w:val="24"/>
        </w:rPr>
        <w:t>a</w:t>
      </w:r>
      <w:r w:rsidR="009767EE" w:rsidRPr="009767EE">
        <w:rPr>
          <w:i w:val="0"/>
          <w:sz w:val="24"/>
          <w:szCs w:val="24"/>
        </w:rPr>
        <w:t xml:space="preserve">l ruolo di </w:t>
      </w:r>
      <w:r w:rsidR="00A3701C">
        <w:rPr>
          <w:i w:val="0"/>
          <w:sz w:val="24"/>
          <w:szCs w:val="24"/>
        </w:rPr>
        <w:t xml:space="preserve"> formatore </w:t>
      </w:r>
      <w:r w:rsidR="00167759">
        <w:rPr>
          <w:i w:val="0"/>
          <w:sz w:val="24"/>
          <w:szCs w:val="24"/>
        </w:rPr>
        <w:t>nel</w:t>
      </w:r>
      <w:r w:rsidR="009767EE" w:rsidRPr="009767EE">
        <w:rPr>
          <w:i w:val="0"/>
          <w:sz w:val="24"/>
          <w:szCs w:val="24"/>
        </w:rPr>
        <w:t xml:space="preserve">la conduzione di </w:t>
      </w:r>
      <w:r w:rsidR="00D8536F">
        <w:rPr>
          <w:i w:val="0"/>
          <w:sz w:val="24"/>
          <w:szCs w:val="24"/>
        </w:rPr>
        <w:t>interventi formativi</w:t>
      </w:r>
      <w:r w:rsidR="009767EE" w:rsidRPr="009767EE">
        <w:rPr>
          <w:i w:val="0"/>
          <w:sz w:val="24"/>
          <w:szCs w:val="24"/>
        </w:rPr>
        <w:t xml:space="preserve"> </w:t>
      </w:r>
      <w:r w:rsidR="00D8536F">
        <w:rPr>
          <w:i w:val="0"/>
          <w:sz w:val="24"/>
          <w:szCs w:val="24"/>
        </w:rPr>
        <w:t>rivolti ai</w:t>
      </w:r>
      <w:r w:rsidR="00A3701C">
        <w:rPr>
          <w:i w:val="0"/>
          <w:sz w:val="24"/>
          <w:szCs w:val="24"/>
        </w:rPr>
        <w:t xml:space="preserve"> </w:t>
      </w:r>
      <w:r w:rsidR="00D8536F">
        <w:rPr>
          <w:i w:val="0"/>
          <w:sz w:val="24"/>
          <w:szCs w:val="24"/>
        </w:rPr>
        <w:t xml:space="preserve">docenti in servizio presso gli indirizzi di studio per il rilascio del doppio diploma italo-francese, </w:t>
      </w:r>
      <w:r>
        <w:rPr>
          <w:i w:val="0"/>
          <w:sz w:val="24"/>
          <w:szCs w:val="24"/>
        </w:rPr>
        <w:t>n</w:t>
      </w:r>
      <w:r w:rsidRPr="00AC7C5A">
        <w:rPr>
          <w:i w:val="0"/>
          <w:sz w:val="24"/>
          <w:szCs w:val="24"/>
        </w:rPr>
        <w:t xml:space="preserve">ell’ottica di rafforzare </w:t>
      </w:r>
      <w:r>
        <w:rPr>
          <w:i w:val="0"/>
          <w:sz w:val="24"/>
          <w:szCs w:val="24"/>
        </w:rPr>
        <w:t xml:space="preserve">la rete nazionale di formatori </w:t>
      </w:r>
      <w:r w:rsidRPr="00AC7C5A">
        <w:rPr>
          <w:i w:val="0"/>
          <w:sz w:val="24"/>
          <w:szCs w:val="24"/>
        </w:rPr>
        <w:t>da utilizzare per l’accompagnamento tra pari nei pro</w:t>
      </w:r>
      <w:r w:rsidR="00D8536F">
        <w:rPr>
          <w:i w:val="0"/>
          <w:sz w:val="24"/>
          <w:szCs w:val="24"/>
        </w:rPr>
        <w:t xml:space="preserve">cessi di sviluppo professionale riferiti al contesto scolastico EsaBac. </w:t>
      </w:r>
    </w:p>
    <w:p w:rsidR="009767EE" w:rsidRPr="009767EE" w:rsidRDefault="009767EE" w:rsidP="00B01DE8">
      <w:pPr>
        <w:overflowPunct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N</w:t>
      </w:r>
      <w:r w:rsidRPr="00AC7C5A">
        <w:rPr>
          <w:i w:val="0"/>
          <w:sz w:val="24"/>
          <w:szCs w:val="24"/>
        </w:rPr>
        <w:t xml:space="preserve">ella prospettiva più ampia di migliorare la collaborazione tra gli Uffici centrali e periferici </w:t>
      </w:r>
      <w:r w:rsidR="001A10BE">
        <w:rPr>
          <w:i w:val="0"/>
          <w:sz w:val="24"/>
          <w:szCs w:val="24"/>
        </w:rPr>
        <w:t xml:space="preserve">del MIUR, </w:t>
      </w:r>
      <w:r w:rsidRPr="00AC7C5A">
        <w:rPr>
          <w:i w:val="0"/>
          <w:sz w:val="24"/>
          <w:szCs w:val="24"/>
        </w:rPr>
        <w:t xml:space="preserve">impegnati nell’attuazione e miglioramento del dispositivo delle sezioni EsaBac, </w:t>
      </w:r>
      <w:r>
        <w:rPr>
          <w:i w:val="0"/>
          <w:sz w:val="24"/>
          <w:szCs w:val="24"/>
        </w:rPr>
        <w:t>i</w:t>
      </w:r>
      <w:r w:rsidRPr="009767EE">
        <w:rPr>
          <w:i w:val="0"/>
          <w:sz w:val="24"/>
          <w:szCs w:val="24"/>
        </w:rPr>
        <w:t xml:space="preserve"> referenti USR </w:t>
      </w:r>
      <w:r>
        <w:rPr>
          <w:i w:val="0"/>
          <w:sz w:val="24"/>
          <w:szCs w:val="24"/>
        </w:rPr>
        <w:t xml:space="preserve">potranno </w:t>
      </w:r>
      <w:r w:rsidRPr="009767EE">
        <w:rPr>
          <w:i w:val="0"/>
          <w:sz w:val="24"/>
          <w:szCs w:val="24"/>
        </w:rPr>
        <w:t>beneficiare</w:t>
      </w:r>
      <w:r w:rsidR="001A10BE">
        <w:rPr>
          <w:i w:val="0"/>
          <w:sz w:val="24"/>
          <w:szCs w:val="24"/>
        </w:rPr>
        <w:t>, nella stessa occasione, d</w:t>
      </w:r>
      <w:r w:rsidRPr="009767EE">
        <w:rPr>
          <w:i w:val="0"/>
          <w:sz w:val="24"/>
          <w:szCs w:val="24"/>
        </w:rPr>
        <w:t>i uno specifico intervento informativo/formativo incentrato sul ruolo e sui compiti che il referente regionale è chiamato a svolgere ai fini di un efficace supporto alle scuole EsaBac sul proprio territorio di competenza</w:t>
      </w:r>
      <w:r>
        <w:rPr>
          <w:i w:val="0"/>
          <w:sz w:val="24"/>
          <w:szCs w:val="24"/>
        </w:rPr>
        <w:t>.</w:t>
      </w:r>
    </w:p>
    <w:p w:rsidR="006548F3" w:rsidRDefault="006548F3" w:rsidP="006E115C">
      <w:pPr>
        <w:ind w:firstLine="708"/>
        <w:jc w:val="both"/>
        <w:rPr>
          <w:i w:val="0"/>
          <w:sz w:val="24"/>
          <w:szCs w:val="24"/>
        </w:rPr>
      </w:pPr>
    </w:p>
    <w:p w:rsidR="006548F3" w:rsidRPr="006548F3" w:rsidRDefault="006548F3" w:rsidP="006E115C">
      <w:pPr>
        <w:ind w:firstLine="708"/>
        <w:jc w:val="both"/>
        <w:rPr>
          <w:b/>
          <w:i w:val="0"/>
          <w:sz w:val="24"/>
          <w:szCs w:val="24"/>
          <w:u w:val="single"/>
        </w:rPr>
      </w:pPr>
      <w:r w:rsidRPr="006548F3">
        <w:rPr>
          <w:b/>
          <w:i w:val="0"/>
          <w:sz w:val="24"/>
          <w:szCs w:val="24"/>
          <w:u w:val="single"/>
        </w:rPr>
        <w:t>Allegati</w:t>
      </w:r>
    </w:p>
    <w:p w:rsidR="006548F3" w:rsidRPr="006548F3" w:rsidRDefault="006548F3" w:rsidP="006548F3">
      <w:pPr>
        <w:pStyle w:val="Paragrafoelenco"/>
        <w:numPr>
          <w:ilvl w:val="0"/>
          <w:numId w:val="1"/>
        </w:numPr>
        <w:jc w:val="both"/>
        <w:rPr>
          <w:i w:val="0"/>
          <w:sz w:val="24"/>
          <w:szCs w:val="24"/>
        </w:rPr>
      </w:pPr>
      <w:r w:rsidRPr="006548F3">
        <w:rPr>
          <w:i w:val="0"/>
          <w:sz w:val="24"/>
          <w:szCs w:val="24"/>
        </w:rPr>
        <w:t>PROGRAMMA</w:t>
      </w:r>
    </w:p>
    <w:p w:rsidR="006548F3" w:rsidRPr="006548F3" w:rsidRDefault="006548F3" w:rsidP="006548F3">
      <w:pPr>
        <w:pStyle w:val="Paragrafoelenco"/>
        <w:numPr>
          <w:ilvl w:val="0"/>
          <w:numId w:val="1"/>
        </w:numPr>
        <w:jc w:val="both"/>
        <w:rPr>
          <w:i w:val="0"/>
          <w:sz w:val="24"/>
          <w:szCs w:val="24"/>
        </w:rPr>
      </w:pPr>
      <w:r w:rsidRPr="006548F3">
        <w:rPr>
          <w:i w:val="0"/>
          <w:sz w:val="24"/>
          <w:szCs w:val="24"/>
        </w:rPr>
        <w:t>Docenti esperti EsaBac</w:t>
      </w:r>
    </w:p>
    <w:p w:rsidR="006548F3" w:rsidRPr="006548F3" w:rsidRDefault="006548F3" w:rsidP="006548F3">
      <w:pPr>
        <w:pStyle w:val="Paragrafoelenco"/>
        <w:numPr>
          <w:ilvl w:val="0"/>
          <w:numId w:val="1"/>
        </w:numPr>
        <w:jc w:val="both"/>
        <w:rPr>
          <w:i w:val="0"/>
          <w:sz w:val="24"/>
          <w:szCs w:val="24"/>
        </w:rPr>
      </w:pPr>
      <w:r w:rsidRPr="006548F3">
        <w:rPr>
          <w:i w:val="0"/>
          <w:sz w:val="24"/>
          <w:szCs w:val="24"/>
        </w:rPr>
        <w:t>Referenti USR EsaBac</w:t>
      </w:r>
    </w:p>
    <w:sectPr w:rsidR="006548F3" w:rsidRPr="006548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474F"/>
    <w:multiLevelType w:val="hybridMultilevel"/>
    <w:tmpl w:val="B3009A5C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5C"/>
    <w:rsid w:val="000965F3"/>
    <w:rsid w:val="00167759"/>
    <w:rsid w:val="001A10BE"/>
    <w:rsid w:val="00611B77"/>
    <w:rsid w:val="006548F3"/>
    <w:rsid w:val="006E115C"/>
    <w:rsid w:val="009767EE"/>
    <w:rsid w:val="00A3701C"/>
    <w:rsid w:val="00AC7C5A"/>
    <w:rsid w:val="00B01DE8"/>
    <w:rsid w:val="00B20C7C"/>
    <w:rsid w:val="00C012DB"/>
    <w:rsid w:val="00D8536F"/>
    <w:rsid w:val="00E54C37"/>
    <w:rsid w:val="00EF2232"/>
    <w:rsid w:val="00F62E11"/>
    <w:rsid w:val="00F9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11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E115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paragraph" w:styleId="Paragrafoelenco">
    <w:name w:val="List Paragraph"/>
    <w:basedOn w:val="Normale"/>
    <w:uiPriority w:val="34"/>
    <w:qFormat/>
    <w:rsid w:val="00654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11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E115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paragraph" w:styleId="Paragrafoelenco">
    <w:name w:val="List Paragraph"/>
    <w:basedOn w:val="Normale"/>
    <w:uiPriority w:val="34"/>
    <w:qFormat/>
    <w:rsid w:val="00654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2017-04-21T08:52:00Z</cp:lastPrinted>
  <dcterms:created xsi:type="dcterms:W3CDTF">2017-04-21T08:54:00Z</dcterms:created>
  <dcterms:modified xsi:type="dcterms:W3CDTF">2017-04-21T08:54:00Z</dcterms:modified>
</cp:coreProperties>
</file>