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3051" w14:textId="77777777" w:rsidR="00A31982" w:rsidRDefault="00A31982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96"/>
        </w:rPr>
      </w:pPr>
    </w:p>
    <w:p w14:paraId="3A6CC7FA" w14:textId="77777777" w:rsidR="00A31982" w:rsidRDefault="00A31982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96"/>
        </w:rPr>
      </w:pPr>
    </w:p>
    <w:p w14:paraId="551AA38E" w14:textId="38DEFEB2" w:rsidR="00920621" w:rsidRPr="000C71E1" w:rsidRDefault="00920621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56"/>
        </w:rPr>
      </w:pPr>
      <w:r w:rsidRPr="000C71E1">
        <w:rPr>
          <w:rFonts w:asciiTheme="majorHAnsi" w:hAnsiTheme="majorHAnsi" w:cstheme="majorHAnsi"/>
          <w:color w:val="2E74B5" w:themeColor="accent5" w:themeShade="BF"/>
          <w:sz w:val="96"/>
        </w:rPr>
        <w:t>A</w:t>
      </w:r>
      <w:r w:rsidRPr="000C71E1">
        <w:rPr>
          <w:rFonts w:asciiTheme="majorHAnsi" w:hAnsiTheme="majorHAnsi" w:cstheme="majorHAnsi"/>
          <w:color w:val="2E74B5" w:themeColor="accent5" w:themeShade="BF"/>
          <w:sz w:val="56"/>
        </w:rPr>
        <w:t>LLEGATO</w:t>
      </w:r>
      <w:r w:rsidR="006A23C9">
        <w:rPr>
          <w:rFonts w:asciiTheme="majorHAnsi" w:hAnsiTheme="majorHAnsi" w:cstheme="majorHAnsi"/>
          <w:color w:val="2E74B5" w:themeColor="accent5" w:themeShade="BF"/>
          <w:sz w:val="56"/>
        </w:rPr>
        <w:t xml:space="preserve"> </w:t>
      </w:r>
      <w:r w:rsidR="00BF5AC3">
        <w:rPr>
          <w:rFonts w:asciiTheme="majorHAnsi" w:hAnsiTheme="majorHAnsi" w:cstheme="majorHAnsi"/>
          <w:color w:val="2E74B5" w:themeColor="accent5" w:themeShade="BF"/>
          <w:sz w:val="72"/>
          <w:szCs w:val="72"/>
        </w:rPr>
        <w:t>6</w:t>
      </w:r>
    </w:p>
    <w:p w14:paraId="043536DE" w14:textId="086D0A32" w:rsidR="00920621" w:rsidRDefault="00BF5AC3" w:rsidP="00BF5AC3">
      <w:pPr>
        <w:autoSpaceDE w:val="0"/>
        <w:autoSpaceDN w:val="0"/>
        <w:adjustRightInd w:val="0"/>
        <w:spacing w:after="120" w:line="240" w:lineRule="auto"/>
        <w:jc w:val="center"/>
        <w:rPr>
          <w:rFonts w:ascii="Garamond" w:hAnsi="Garamond"/>
          <w:b/>
          <w:bCs/>
        </w:rPr>
      </w:pPr>
      <w:r w:rsidRPr="00BF5AC3">
        <w:rPr>
          <w:rFonts w:asciiTheme="majorHAnsi" w:hAnsiTheme="majorHAnsi" w:cstheme="majorHAnsi"/>
          <w:b/>
          <w:color w:val="2E74B5" w:themeColor="accent5" w:themeShade="BF"/>
          <w:sz w:val="52"/>
          <w:szCs w:val="52"/>
        </w:rPr>
        <w:t>Documento di sintesi della procedura di verifica dell’anomalia dell’offerta</w:t>
      </w:r>
      <w:r w:rsidRPr="00BF5AC3" w:rsidDel="00BF5AC3">
        <w:rPr>
          <w:rFonts w:asciiTheme="majorHAnsi" w:hAnsiTheme="majorHAnsi" w:cstheme="majorHAnsi"/>
          <w:b/>
          <w:color w:val="2E74B5" w:themeColor="accent5" w:themeShade="BF"/>
          <w:sz w:val="52"/>
          <w:szCs w:val="52"/>
        </w:rPr>
        <w:t xml:space="preserve"> </w:t>
      </w:r>
    </w:p>
    <w:p w14:paraId="4B8C9F7F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14E0529F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177DFA7C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5B9DF494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7A7D2424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41C533C4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4573B472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0EF7080C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6ACE56D7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05C06F7A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1F71A4F5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2744963F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5EE8450E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4FA0B5C1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7412CAFF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2958A6ED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35A4F2C2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098BFFAD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111EE251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1BAEBA42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3738FC8C" w14:textId="3C96087C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62D058E8" w14:textId="77777777" w:rsidR="00BF5AC3" w:rsidRDefault="00BF5AC3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51980CBE" w14:textId="77777777"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14:paraId="0F25DA82" w14:textId="37D15C64" w:rsidR="008C413A" w:rsidRPr="0009362F" w:rsidRDefault="008C413A" w:rsidP="0009362F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09362F">
        <w:rPr>
          <w:rFonts w:cstheme="minorHAnsi"/>
          <w:b/>
          <w:bCs/>
          <w:sz w:val="24"/>
          <w:szCs w:val="24"/>
        </w:rPr>
        <w:lastRenderedPageBreak/>
        <w:t>PREMESS</w:t>
      </w:r>
      <w:r w:rsidR="00A31982" w:rsidRPr="0009362F">
        <w:rPr>
          <w:rFonts w:cstheme="minorHAnsi"/>
          <w:b/>
          <w:bCs/>
          <w:sz w:val="24"/>
          <w:szCs w:val="24"/>
        </w:rPr>
        <w:t>A</w:t>
      </w:r>
    </w:p>
    <w:p w14:paraId="231B5ACA" w14:textId="4503C500" w:rsidR="00814DD5" w:rsidRPr="00A31982" w:rsidRDefault="00C60399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Fatta salva la facoltà</w:t>
      </w:r>
      <w:r w:rsidR="00DA7AD7" w:rsidRPr="00A31982">
        <w:rPr>
          <w:rFonts w:cstheme="minorHAnsi"/>
          <w:sz w:val="24"/>
          <w:szCs w:val="24"/>
        </w:rPr>
        <w:t xml:space="preserve"> di derogare</w:t>
      </w:r>
      <w:r w:rsidRPr="00A31982">
        <w:rPr>
          <w:rStyle w:val="Rimandonotaapidipagina"/>
          <w:rFonts w:cstheme="minorHAnsi"/>
          <w:sz w:val="24"/>
          <w:szCs w:val="24"/>
        </w:rPr>
        <w:footnoteReference w:id="1"/>
      </w:r>
      <w:r w:rsidR="00A31982">
        <w:rPr>
          <w:rFonts w:cstheme="minorHAnsi"/>
          <w:sz w:val="24"/>
          <w:szCs w:val="24"/>
        </w:rPr>
        <w:t xml:space="preserve"> </w:t>
      </w:r>
      <w:r w:rsidR="001270ED" w:rsidRPr="00A31982">
        <w:rPr>
          <w:rFonts w:cstheme="minorHAnsi"/>
          <w:sz w:val="24"/>
          <w:szCs w:val="24"/>
        </w:rPr>
        <w:t xml:space="preserve">al divieto di </w:t>
      </w:r>
      <w:r w:rsidR="005D6BD4" w:rsidRPr="00A31982">
        <w:rPr>
          <w:rFonts w:cstheme="minorHAnsi"/>
          <w:sz w:val="24"/>
          <w:szCs w:val="24"/>
        </w:rPr>
        <w:t>applicazione di qualsiasi forma di automatismo</w:t>
      </w:r>
      <w:r w:rsidR="00282AE0" w:rsidRPr="00A31982">
        <w:rPr>
          <w:rFonts w:cstheme="minorHAnsi"/>
          <w:sz w:val="24"/>
          <w:szCs w:val="24"/>
        </w:rPr>
        <w:t xml:space="preserve"> </w:t>
      </w:r>
      <w:r w:rsidR="00A92B6E" w:rsidRPr="00A31982">
        <w:rPr>
          <w:rFonts w:cstheme="minorHAnsi"/>
          <w:sz w:val="24"/>
          <w:szCs w:val="24"/>
        </w:rPr>
        <w:t>valutativo</w:t>
      </w:r>
      <w:r w:rsidR="00342169" w:rsidRPr="00A31982">
        <w:rPr>
          <w:rFonts w:cstheme="minorHAnsi"/>
          <w:sz w:val="24"/>
          <w:szCs w:val="24"/>
        </w:rPr>
        <w:t xml:space="preserve">, </w:t>
      </w:r>
      <w:r w:rsidR="001353FB" w:rsidRPr="00A31982">
        <w:rPr>
          <w:rFonts w:cstheme="minorHAnsi"/>
          <w:sz w:val="24"/>
          <w:szCs w:val="24"/>
        </w:rPr>
        <w:t>l</w:t>
      </w:r>
      <w:r w:rsidR="00814DD5" w:rsidRPr="00A31982">
        <w:rPr>
          <w:rFonts w:cstheme="minorHAnsi"/>
          <w:sz w:val="24"/>
          <w:szCs w:val="24"/>
        </w:rPr>
        <w:t>’esclusione dell’o</w:t>
      </w:r>
      <w:r w:rsidR="00A87A42" w:rsidRPr="00A31982">
        <w:rPr>
          <w:rFonts w:cstheme="minorHAnsi"/>
          <w:sz w:val="24"/>
          <w:szCs w:val="24"/>
        </w:rPr>
        <w:t xml:space="preserve">fferta anomala </w:t>
      </w:r>
      <w:r w:rsidR="00A31982">
        <w:rPr>
          <w:rFonts w:cstheme="minorHAnsi"/>
          <w:sz w:val="24"/>
          <w:szCs w:val="24"/>
        </w:rPr>
        <w:t>dovrà avvenire</w:t>
      </w:r>
      <w:r w:rsidR="009257B6" w:rsidRPr="00A31982">
        <w:rPr>
          <w:rFonts w:cstheme="minorHAnsi"/>
          <w:sz w:val="24"/>
          <w:szCs w:val="24"/>
        </w:rPr>
        <w:t xml:space="preserve">, in conformità con le previsioni </w:t>
      </w:r>
      <w:r w:rsidR="00A31982">
        <w:rPr>
          <w:rFonts w:cstheme="minorHAnsi"/>
          <w:sz w:val="24"/>
          <w:szCs w:val="24"/>
        </w:rPr>
        <w:t xml:space="preserve">del </w:t>
      </w:r>
      <w:r w:rsidR="009257B6" w:rsidRPr="00A31982">
        <w:rPr>
          <w:rFonts w:cstheme="minorHAnsi"/>
          <w:sz w:val="24"/>
          <w:szCs w:val="24"/>
        </w:rPr>
        <w:t>diritto europeo,</w:t>
      </w:r>
      <w:r w:rsidR="00A87A42" w:rsidRPr="00A31982">
        <w:rPr>
          <w:rFonts w:cstheme="minorHAnsi"/>
          <w:sz w:val="24"/>
          <w:szCs w:val="24"/>
        </w:rPr>
        <w:t xml:space="preserve"> </w:t>
      </w:r>
      <w:r w:rsidR="00814DD5" w:rsidRPr="00A31982">
        <w:rPr>
          <w:rFonts w:cstheme="minorHAnsi"/>
          <w:sz w:val="24"/>
          <w:szCs w:val="24"/>
        </w:rPr>
        <w:t>nel rispetto del contraddittorio procedimentale</w:t>
      </w:r>
      <w:r w:rsidR="00144144" w:rsidRPr="00A31982">
        <w:rPr>
          <w:rFonts w:cstheme="minorHAnsi"/>
          <w:sz w:val="24"/>
          <w:szCs w:val="24"/>
        </w:rPr>
        <w:t xml:space="preserve"> di cui all’art. 110 del </w:t>
      </w:r>
      <w:r w:rsidR="00A31982">
        <w:rPr>
          <w:rFonts w:cstheme="minorHAnsi"/>
          <w:sz w:val="24"/>
          <w:szCs w:val="24"/>
        </w:rPr>
        <w:t>Decreto Legislativo 31 marzo 2023, n. 36 (a seguire, anche «</w:t>
      </w:r>
      <w:r w:rsidR="00144144" w:rsidRPr="0009362F">
        <w:rPr>
          <w:rFonts w:cstheme="minorHAnsi"/>
          <w:b/>
          <w:bCs/>
          <w:sz w:val="24"/>
          <w:szCs w:val="24"/>
        </w:rPr>
        <w:t>Codice</w:t>
      </w:r>
      <w:r w:rsidR="00A31982">
        <w:rPr>
          <w:rFonts w:cstheme="minorHAnsi"/>
          <w:sz w:val="24"/>
          <w:szCs w:val="24"/>
        </w:rPr>
        <w:t>»)</w:t>
      </w:r>
      <w:r w:rsidR="00DE54BC" w:rsidRPr="00A31982">
        <w:rPr>
          <w:rFonts w:cstheme="minorHAnsi"/>
          <w:sz w:val="24"/>
          <w:szCs w:val="24"/>
        </w:rPr>
        <w:t>.</w:t>
      </w:r>
    </w:p>
    <w:p w14:paraId="5BB98677" w14:textId="484F847A" w:rsidR="00020572" w:rsidRPr="00A31982" w:rsidRDefault="00020572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 xml:space="preserve">È rimessa alla discrezionalità della </w:t>
      </w:r>
      <w:r w:rsidR="00456DA6">
        <w:rPr>
          <w:rFonts w:cstheme="minorHAnsi"/>
          <w:sz w:val="24"/>
          <w:szCs w:val="24"/>
        </w:rPr>
        <w:t>S</w:t>
      </w:r>
      <w:r w:rsidRPr="00A31982">
        <w:rPr>
          <w:rFonts w:cstheme="minorHAnsi"/>
          <w:sz w:val="24"/>
          <w:szCs w:val="24"/>
        </w:rPr>
        <w:t xml:space="preserve">tazione </w:t>
      </w:r>
      <w:r w:rsidR="00456DA6">
        <w:rPr>
          <w:rFonts w:cstheme="minorHAnsi"/>
          <w:sz w:val="24"/>
          <w:szCs w:val="24"/>
        </w:rPr>
        <w:t>A</w:t>
      </w:r>
      <w:r w:rsidR="00456DA6" w:rsidRPr="00A31982">
        <w:rPr>
          <w:rFonts w:cstheme="minorHAnsi"/>
          <w:sz w:val="24"/>
          <w:szCs w:val="24"/>
        </w:rPr>
        <w:t xml:space="preserve">ppaltante </w:t>
      </w:r>
      <w:r w:rsidRPr="00A31982">
        <w:rPr>
          <w:rFonts w:cstheme="minorHAnsi"/>
          <w:sz w:val="24"/>
          <w:szCs w:val="24"/>
        </w:rPr>
        <w:t xml:space="preserve">(alla luce dei risultati di gara, del mercato di riferimento e di ogni altro elemento che possa essere ritenuto utile) </w:t>
      </w:r>
      <w:r w:rsidR="0060386D" w:rsidRPr="00A31982">
        <w:rPr>
          <w:rFonts w:cstheme="minorHAnsi"/>
          <w:sz w:val="24"/>
          <w:szCs w:val="24"/>
        </w:rPr>
        <w:t>l’individuazione di criteri</w:t>
      </w:r>
      <w:r w:rsidR="00960EF4" w:rsidRPr="00A31982">
        <w:rPr>
          <w:rFonts w:cstheme="minorHAnsi"/>
          <w:sz w:val="24"/>
          <w:szCs w:val="24"/>
        </w:rPr>
        <w:t xml:space="preserve"> </w:t>
      </w:r>
      <w:r w:rsidR="003F1D49" w:rsidRPr="00A31982">
        <w:rPr>
          <w:rFonts w:cstheme="minorHAnsi"/>
          <w:sz w:val="24"/>
          <w:szCs w:val="24"/>
        </w:rPr>
        <w:t>in funzione dei</w:t>
      </w:r>
      <w:r w:rsidR="00960EF4" w:rsidRPr="00A31982">
        <w:rPr>
          <w:rFonts w:cstheme="minorHAnsi"/>
          <w:sz w:val="24"/>
          <w:szCs w:val="24"/>
        </w:rPr>
        <w:t xml:space="preserve"> quali sottoporre a valutazione</w:t>
      </w:r>
      <w:r w:rsidR="00443684" w:rsidRPr="00A31982">
        <w:rPr>
          <w:rFonts w:cstheme="minorHAnsi"/>
          <w:sz w:val="24"/>
          <w:szCs w:val="24"/>
        </w:rPr>
        <w:t xml:space="preserve"> di anomalia una data offerta.</w:t>
      </w:r>
    </w:p>
    <w:p w14:paraId="630F443B" w14:textId="77777777" w:rsidR="00020572" w:rsidRPr="00A31982" w:rsidRDefault="00020572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14:paraId="6A63F94A" w14:textId="44DC53B3" w:rsidR="00DE54BC" w:rsidRPr="00A31982" w:rsidRDefault="009C6133" w:rsidP="0009362F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A31982">
        <w:rPr>
          <w:rFonts w:cstheme="minorHAnsi"/>
          <w:b/>
          <w:bCs/>
          <w:sz w:val="24"/>
          <w:szCs w:val="24"/>
        </w:rPr>
        <w:t>LA PROCEDURA</w:t>
      </w:r>
    </w:p>
    <w:p w14:paraId="0AFF6E5C" w14:textId="77777777" w:rsidR="00456DA6" w:rsidRDefault="00EA13F1" w:rsidP="00A31982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I</w:t>
      </w:r>
      <w:r w:rsidR="007F0A87" w:rsidRPr="00A31982">
        <w:rPr>
          <w:rFonts w:cstheme="minorHAnsi"/>
          <w:sz w:val="24"/>
          <w:szCs w:val="24"/>
        </w:rPr>
        <w:t>l</w:t>
      </w:r>
      <w:r w:rsidR="00AC0877" w:rsidRPr="00A31982">
        <w:rPr>
          <w:rFonts w:cstheme="minorHAnsi"/>
          <w:sz w:val="24"/>
          <w:szCs w:val="24"/>
        </w:rPr>
        <w:t xml:space="preserve"> </w:t>
      </w:r>
      <w:r w:rsidR="00456DA6">
        <w:rPr>
          <w:rFonts w:cstheme="minorHAnsi"/>
          <w:sz w:val="24"/>
          <w:szCs w:val="24"/>
        </w:rPr>
        <w:t>Responsabile Unico del Progetto (a seguire, anche «</w:t>
      </w:r>
      <w:r w:rsidR="00AC0877" w:rsidRPr="0009362F">
        <w:rPr>
          <w:rFonts w:cstheme="minorHAnsi"/>
          <w:b/>
          <w:bCs/>
          <w:sz w:val="24"/>
          <w:szCs w:val="24"/>
        </w:rPr>
        <w:t>RUP</w:t>
      </w:r>
      <w:r w:rsidR="00456DA6">
        <w:rPr>
          <w:rFonts w:cstheme="minorHAnsi"/>
          <w:sz w:val="24"/>
          <w:szCs w:val="24"/>
        </w:rPr>
        <w:t>»)</w:t>
      </w:r>
      <w:r w:rsidR="00A61A81" w:rsidRPr="00A31982">
        <w:rPr>
          <w:rFonts w:cstheme="minorHAnsi"/>
          <w:sz w:val="24"/>
          <w:szCs w:val="24"/>
        </w:rPr>
        <w:t xml:space="preserve"> valuta la congruità, la serietà, la sostenibilità e la realizzabilità della migliore offerta, che in base a elementi specifici</w:t>
      </w:r>
      <w:r w:rsidR="00A61A81" w:rsidRPr="00A31982">
        <w:rPr>
          <w:rStyle w:val="Rimandonotaapidipagina"/>
          <w:rFonts w:cstheme="minorHAnsi"/>
          <w:sz w:val="24"/>
          <w:szCs w:val="24"/>
        </w:rPr>
        <w:footnoteReference w:id="2"/>
      </w:r>
      <w:r w:rsidR="00A61A81" w:rsidRPr="00A31982">
        <w:rPr>
          <w:rFonts w:cstheme="minorHAnsi"/>
          <w:sz w:val="24"/>
          <w:szCs w:val="24"/>
        </w:rPr>
        <w:t xml:space="preserve">, indicati nel bando o nell’avviso, risulti anormalmente bassa. </w:t>
      </w:r>
    </w:p>
    <w:p w14:paraId="76925FF8" w14:textId="0E397313" w:rsidR="00D43743" w:rsidRDefault="00A61A81" w:rsidP="00A31982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 xml:space="preserve">In caso di particolare complessità delle valutazioni o della specificità delle competenze richieste, </w:t>
      </w:r>
      <w:r w:rsidR="00456DA6">
        <w:rPr>
          <w:rFonts w:cstheme="minorHAnsi"/>
          <w:sz w:val="24"/>
          <w:szCs w:val="24"/>
        </w:rPr>
        <w:t xml:space="preserve">il RUP può essere </w:t>
      </w:r>
      <w:r w:rsidR="00FD73E8" w:rsidRPr="00A31982">
        <w:rPr>
          <w:rFonts w:cstheme="minorHAnsi"/>
          <w:sz w:val="24"/>
          <w:szCs w:val="24"/>
        </w:rPr>
        <w:t>coadiuvato</w:t>
      </w:r>
      <w:r w:rsidR="00D43743">
        <w:rPr>
          <w:rFonts w:cstheme="minorHAnsi"/>
          <w:sz w:val="24"/>
          <w:szCs w:val="24"/>
        </w:rPr>
        <w:t xml:space="preserve">: </w:t>
      </w:r>
    </w:p>
    <w:p w14:paraId="1973DD09" w14:textId="77777777" w:rsidR="00D43743" w:rsidRDefault="00D43743" w:rsidP="00D43743">
      <w:pPr>
        <w:pStyle w:val="Paragrafoelenco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nel caso di </w:t>
      </w:r>
      <w:r w:rsidRPr="00F55364">
        <w:rPr>
          <w:rFonts w:cstheme="minorHAnsi"/>
          <w:sz w:val="24"/>
          <w:szCs w:val="24"/>
        </w:rPr>
        <w:t>aggiudicazione con il criterio del minor prezzo</w:t>
      </w:r>
      <w:r>
        <w:rPr>
          <w:rFonts w:cstheme="minorHAnsi"/>
          <w:sz w:val="24"/>
          <w:szCs w:val="24"/>
        </w:rPr>
        <w:t xml:space="preserve">, </w:t>
      </w:r>
      <w:r w:rsidRPr="006F3DB6">
        <w:rPr>
          <w:rFonts w:cstheme="minorHAnsi"/>
          <w:sz w:val="24"/>
          <w:szCs w:val="24"/>
        </w:rPr>
        <w:t>da una struttura di supporto, istituita ai sensi dell’articolo 15, comma 6, del Codice</w:t>
      </w:r>
      <w:r>
        <w:rPr>
          <w:rFonts w:cstheme="minorHAnsi"/>
          <w:sz w:val="24"/>
          <w:szCs w:val="24"/>
        </w:rPr>
        <w:t xml:space="preserve">; </w:t>
      </w:r>
    </w:p>
    <w:p w14:paraId="2346FE7C" w14:textId="5BB27ED1" w:rsidR="0024319A" w:rsidRPr="0009362F" w:rsidRDefault="00D43743" w:rsidP="0009362F">
      <w:pPr>
        <w:pStyle w:val="Paragrafoelenco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nelle </w:t>
      </w:r>
      <w:r w:rsidRPr="00D46B42">
        <w:rPr>
          <w:rFonts w:cstheme="minorHAnsi"/>
          <w:sz w:val="24"/>
          <w:szCs w:val="24"/>
        </w:rPr>
        <w:t>procedure di aggiudicazione di contratti di appalti con il criterio dell’offerta economicamente più vantaggiosa</w:t>
      </w:r>
      <w:r>
        <w:rPr>
          <w:rFonts w:cstheme="minorHAnsi"/>
          <w:sz w:val="24"/>
          <w:szCs w:val="24"/>
        </w:rPr>
        <w:t xml:space="preserve">, individuata sulla base del miglior rapporto qualità prezzo, </w:t>
      </w:r>
      <w:r w:rsidR="00D34CD0" w:rsidRPr="0009362F">
        <w:rPr>
          <w:rFonts w:cstheme="minorHAnsi"/>
          <w:sz w:val="24"/>
          <w:szCs w:val="24"/>
        </w:rPr>
        <w:t xml:space="preserve">dalla commissione </w:t>
      </w:r>
      <w:r w:rsidR="00A80FF8" w:rsidRPr="0009362F">
        <w:rPr>
          <w:rFonts w:cstheme="minorHAnsi"/>
          <w:sz w:val="24"/>
          <w:szCs w:val="24"/>
        </w:rPr>
        <w:t>giudicatrice</w:t>
      </w:r>
      <w:r>
        <w:rPr>
          <w:rFonts w:cstheme="minorHAnsi"/>
          <w:sz w:val="24"/>
          <w:szCs w:val="24"/>
        </w:rPr>
        <w:t>,</w:t>
      </w:r>
      <w:r w:rsidR="00B13564" w:rsidRPr="0009362F">
        <w:rPr>
          <w:rFonts w:cstheme="minorHAnsi"/>
          <w:sz w:val="24"/>
          <w:szCs w:val="24"/>
        </w:rPr>
        <w:t xml:space="preserve"> nominata ai sensi dell’articolo 93 del Codice</w:t>
      </w:r>
      <w:r>
        <w:rPr>
          <w:rFonts w:cstheme="minorHAnsi"/>
          <w:sz w:val="24"/>
          <w:szCs w:val="24"/>
        </w:rPr>
        <w:t>.</w:t>
      </w:r>
    </w:p>
    <w:p w14:paraId="7949E29B" w14:textId="5952E1EF" w:rsidR="008F6126" w:rsidRPr="00A31982" w:rsidRDefault="0024319A" w:rsidP="0009362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A</w:t>
      </w:r>
      <w:r w:rsidR="00B970AD" w:rsidRPr="00A31982">
        <w:rPr>
          <w:rFonts w:cstheme="minorHAnsi"/>
          <w:sz w:val="24"/>
          <w:szCs w:val="24"/>
        </w:rPr>
        <w:t>l</w:t>
      </w:r>
      <w:r w:rsidRPr="00A31982">
        <w:rPr>
          <w:rFonts w:cstheme="minorHAnsi"/>
          <w:sz w:val="24"/>
          <w:szCs w:val="24"/>
        </w:rPr>
        <w:t xml:space="preserve"> fin</w:t>
      </w:r>
      <w:r w:rsidR="00B970AD" w:rsidRPr="00A31982">
        <w:rPr>
          <w:rFonts w:cstheme="minorHAnsi"/>
          <w:sz w:val="24"/>
          <w:szCs w:val="24"/>
        </w:rPr>
        <w:t>e di effettuare</w:t>
      </w:r>
      <w:r w:rsidRPr="00A31982">
        <w:rPr>
          <w:rFonts w:cstheme="minorHAnsi"/>
          <w:sz w:val="24"/>
          <w:szCs w:val="24"/>
        </w:rPr>
        <w:t xml:space="preserve"> tali verifiche</w:t>
      </w:r>
      <w:r w:rsidR="00D43743">
        <w:rPr>
          <w:rFonts w:cstheme="minorHAnsi"/>
          <w:sz w:val="24"/>
          <w:szCs w:val="24"/>
        </w:rPr>
        <w:t>, ai sensi dell’art. 110, comma 2, del Codice, il RUP</w:t>
      </w:r>
      <w:r w:rsidR="00287C77" w:rsidRPr="00A31982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>richie</w:t>
      </w:r>
      <w:r w:rsidR="00287C77" w:rsidRPr="00A31982">
        <w:rPr>
          <w:rFonts w:cstheme="minorHAnsi"/>
          <w:sz w:val="24"/>
          <w:szCs w:val="24"/>
        </w:rPr>
        <w:t>de</w:t>
      </w:r>
      <w:r w:rsidR="008F6126" w:rsidRPr="00A31982">
        <w:rPr>
          <w:rFonts w:cstheme="minorHAnsi"/>
          <w:sz w:val="24"/>
          <w:szCs w:val="24"/>
        </w:rPr>
        <w:t xml:space="preserve"> per iscritto al concorrente la presentazione di</w:t>
      </w:r>
      <w:r w:rsidR="00DE54BC" w:rsidRPr="00A31982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 xml:space="preserve">spiegazioni sul prezzo o sui costi proposti nelle offerte, </w:t>
      </w:r>
      <w:r w:rsidR="00D43743">
        <w:rPr>
          <w:rFonts w:cstheme="minorHAnsi"/>
          <w:sz w:val="24"/>
          <w:szCs w:val="24"/>
        </w:rPr>
        <w:t xml:space="preserve">assegnando </w:t>
      </w:r>
      <w:r w:rsidR="008F6126" w:rsidRPr="00A31982">
        <w:rPr>
          <w:rFonts w:cstheme="minorHAnsi"/>
          <w:sz w:val="24"/>
          <w:szCs w:val="24"/>
        </w:rPr>
        <w:t>un termine</w:t>
      </w:r>
      <w:r w:rsidR="0009362F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>non superiore a quindici giorni</w:t>
      </w:r>
      <w:r w:rsidR="006B142A">
        <w:rPr>
          <w:rFonts w:cstheme="minorHAnsi"/>
          <w:sz w:val="24"/>
          <w:szCs w:val="24"/>
        </w:rPr>
        <w:t xml:space="preserve"> che comunque dovrà essere</w:t>
      </w:r>
      <w:r w:rsidR="00EC3907" w:rsidRPr="00A31982">
        <w:rPr>
          <w:rFonts w:cstheme="minorHAnsi"/>
          <w:sz w:val="24"/>
          <w:szCs w:val="24"/>
        </w:rPr>
        <w:t xml:space="preserve"> congruo e ragionevole in relazione alla complessità delle spiegazioni richieste e delle altre esigenze che potranno venire in rilievo nel caso specifico.</w:t>
      </w:r>
    </w:p>
    <w:p w14:paraId="6D766E07" w14:textId="2A18033B" w:rsidR="003D5CAE" w:rsidRDefault="00864D68" w:rsidP="00A31982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Il concorrente</w:t>
      </w:r>
      <w:r w:rsidR="00313359" w:rsidRPr="00A31982">
        <w:rPr>
          <w:rFonts w:asciiTheme="minorHAnsi" w:hAnsiTheme="minorHAnsi" w:cstheme="minorHAnsi"/>
          <w:color w:val="000000"/>
        </w:rPr>
        <w:t xml:space="preserve">, </w:t>
      </w:r>
      <w:r w:rsidR="00385C02" w:rsidRPr="00A31982">
        <w:rPr>
          <w:rFonts w:asciiTheme="minorHAnsi" w:hAnsiTheme="minorHAnsi" w:cstheme="minorHAnsi"/>
          <w:color w:val="000000"/>
        </w:rPr>
        <w:t>entro il termine</w:t>
      </w:r>
      <w:r w:rsidR="00E3470E" w:rsidRPr="00A31982">
        <w:rPr>
          <w:rFonts w:asciiTheme="minorHAnsi" w:hAnsiTheme="minorHAnsi" w:cstheme="minorHAnsi"/>
          <w:color w:val="000000"/>
        </w:rPr>
        <w:t xml:space="preserve"> </w:t>
      </w:r>
      <w:r w:rsidR="008E08F4" w:rsidRPr="00A31982">
        <w:rPr>
          <w:rFonts w:asciiTheme="minorHAnsi" w:hAnsiTheme="minorHAnsi" w:cstheme="minorHAnsi"/>
          <w:color w:val="000000"/>
        </w:rPr>
        <w:t>assegnato</w:t>
      </w:r>
      <w:r w:rsidRPr="00A31982">
        <w:rPr>
          <w:rFonts w:asciiTheme="minorHAnsi" w:hAnsiTheme="minorHAnsi" w:cstheme="minorHAnsi"/>
          <w:color w:val="000000"/>
        </w:rPr>
        <w:t xml:space="preserve">, </w:t>
      </w:r>
      <w:r w:rsidR="00336303" w:rsidRPr="00A31982">
        <w:rPr>
          <w:rFonts w:asciiTheme="minorHAnsi" w:hAnsiTheme="minorHAnsi" w:cstheme="minorHAnsi"/>
          <w:color w:val="000000"/>
        </w:rPr>
        <w:t>dovrà illustrare</w:t>
      </w:r>
      <w:r w:rsidR="006D4D5B" w:rsidRPr="00A31982">
        <w:rPr>
          <w:rFonts w:asciiTheme="minorHAnsi" w:hAnsiTheme="minorHAnsi" w:cstheme="minorHAnsi"/>
          <w:color w:val="000000"/>
        </w:rPr>
        <w:t xml:space="preserve"> </w:t>
      </w:r>
      <w:r w:rsidR="00336303" w:rsidRPr="00A31982">
        <w:rPr>
          <w:rFonts w:asciiTheme="minorHAnsi" w:hAnsiTheme="minorHAnsi" w:cstheme="minorHAnsi"/>
          <w:color w:val="000000"/>
        </w:rPr>
        <w:t>le ragioni</w:t>
      </w:r>
      <w:r w:rsidR="00B831F9" w:rsidRPr="00A31982">
        <w:rPr>
          <w:rFonts w:asciiTheme="minorHAnsi" w:hAnsiTheme="minorHAnsi" w:cstheme="minorHAnsi"/>
          <w:color w:val="000000"/>
        </w:rPr>
        <w:t xml:space="preserve"> di carattere </w:t>
      </w:r>
      <w:r w:rsidR="000D1E35" w:rsidRPr="00A31982">
        <w:rPr>
          <w:rFonts w:asciiTheme="minorHAnsi" w:hAnsiTheme="minorHAnsi" w:cstheme="minorHAnsi"/>
          <w:color w:val="000000"/>
        </w:rPr>
        <w:t>tecnico</w:t>
      </w:r>
      <w:r w:rsidR="00C245C5" w:rsidRPr="00A31982">
        <w:rPr>
          <w:rFonts w:asciiTheme="minorHAnsi" w:hAnsiTheme="minorHAnsi" w:cstheme="minorHAnsi"/>
          <w:color w:val="000000"/>
        </w:rPr>
        <w:t xml:space="preserve"> ed </w:t>
      </w:r>
      <w:r w:rsidR="000D1E35" w:rsidRPr="00A31982">
        <w:rPr>
          <w:rFonts w:asciiTheme="minorHAnsi" w:hAnsiTheme="minorHAnsi" w:cstheme="minorHAnsi"/>
          <w:color w:val="000000"/>
        </w:rPr>
        <w:t>economi</w:t>
      </w:r>
      <w:r w:rsidR="00B831F9" w:rsidRPr="00A31982">
        <w:rPr>
          <w:rFonts w:asciiTheme="minorHAnsi" w:hAnsiTheme="minorHAnsi" w:cstheme="minorHAnsi"/>
          <w:color w:val="000000"/>
        </w:rPr>
        <w:t>co</w:t>
      </w:r>
      <w:r w:rsidR="006B142A" w:rsidRPr="00A31982">
        <w:rPr>
          <w:rFonts w:asciiTheme="minorHAnsi" w:hAnsiTheme="minorHAnsi" w:cstheme="minorHAnsi"/>
          <w:color w:val="000000"/>
        </w:rPr>
        <w:t xml:space="preserve"> a dimostrazione della sostenibilità dell’offerta</w:t>
      </w:r>
      <w:r w:rsidR="006D4D5B" w:rsidRPr="00A31982">
        <w:rPr>
          <w:rFonts w:asciiTheme="minorHAnsi" w:hAnsiTheme="minorHAnsi" w:cstheme="minorHAnsi"/>
          <w:color w:val="000000"/>
        </w:rPr>
        <w:t xml:space="preserve"> </w:t>
      </w:r>
      <w:r w:rsidR="002E6CC5" w:rsidRPr="00A31982">
        <w:rPr>
          <w:rFonts w:asciiTheme="minorHAnsi" w:hAnsiTheme="minorHAnsi" w:cstheme="minorHAnsi"/>
          <w:color w:val="000000"/>
        </w:rPr>
        <w:t>che</w:t>
      </w:r>
      <w:r w:rsidR="003D5CAE">
        <w:rPr>
          <w:rFonts w:asciiTheme="minorHAnsi" w:hAnsiTheme="minorHAnsi" w:cstheme="minorHAnsi"/>
          <w:color w:val="000000"/>
        </w:rPr>
        <w:t>, ai sensi dell’art. 110, comma 3, del Codice,</w:t>
      </w:r>
      <w:r w:rsidR="002E6CC5" w:rsidRPr="00A31982">
        <w:rPr>
          <w:rFonts w:asciiTheme="minorHAnsi" w:hAnsiTheme="minorHAnsi" w:cstheme="minorHAnsi"/>
          <w:color w:val="000000"/>
        </w:rPr>
        <w:t xml:space="preserve"> potranno riguardare</w:t>
      </w:r>
      <w:r w:rsidR="003D5CAE">
        <w:rPr>
          <w:rFonts w:asciiTheme="minorHAnsi" w:hAnsiTheme="minorHAnsi" w:cstheme="minorHAnsi"/>
          <w:color w:val="000000"/>
        </w:rPr>
        <w:t xml:space="preserve"> i seguenti elementi</w:t>
      </w:r>
      <w:r w:rsidR="00703858" w:rsidRPr="00A31982">
        <w:rPr>
          <w:rStyle w:val="Rimandonotaapidipagina"/>
          <w:rFonts w:asciiTheme="minorHAnsi" w:hAnsiTheme="minorHAnsi" w:cstheme="minorHAnsi"/>
          <w:color w:val="000000"/>
        </w:rPr>
        <w:footnoteReference w:id="3"/>
      </w:r>
      <w:r w:rsidR="003D5CAE">
        <w:rPr>
          <w:rFonts w:asciiTheme="minorHAnsi" w:hAnsiTheme="minorHAnsi" w:cstheme="minorHAnsi"/>
          <w:color w:val="000000"/>
        </w:rPr>
        <w:t>:</w:t>
      </w:r>
    </w:p>
    <w:p w14:paraId="09C1D68A" w14:textId="0FE00A4C" w:rsidR="003D5CAE" w:rsidRPr="00A31982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l</w:t>
      </w:r>
      <w:r w:rsidR="00D920A5">
        <w:rPr>
          <w:rFonts w:asciiTheme="minorHAnsi" w:hAnsiTheme="minorHAnsi" w:cstheme="minorHAnsi"/>
          <w:color w:val="000000"/>
        </w:rPr>
        <w:t>’</w:t>
      </w:r>
      <w:r w:rsidRPr="00A31982">
        <w:rPr>
          <w:rFonts w:asciiTheme="minorHAnsi" w:hAnsiTheme="minorHAnsi" w:cstheme="minorHAnsi"/>
          <w:color w:val="000000"/>
        </w:rPr>
        <w:t>economia del processo di fabbricazione dei prodotti, dei servizi prestati o del metodo di costruzione</w:t>
      </w:r>
      <w:r w:rsidR="006B142A">
        <w:rPr>
          <w:rFonts w:asciiTheme="minorHAnsi" w:hAnsiTheme="minorHAnsi" w:cstheme="minorHAnsi"/>
          <w:color w:val="000000"/>
        </w:rPr>
        <w:t>;</w:t>
      </w:r>
    </w:p>
    <w:p w14:paraId="30ADD673" w14:textId="6DE64524" w:rsidR="005B7C2A" w:rsidRPr="003D5CAE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3D5CAE">
        <w:rPr>
          <w:rFonts w:asciiTheme="minorHAnsi" w:hAnsiTheme="minorHAnsi" w:cstheme="minorHAnsi"/>
          <w:color w:val="000000"/>
        </w:rPr>
        <w:t>le soluzioni tecniche prescelte o le condizioni eccezionalmente favorevoli di cui dispone l'offerente per fornire i prodotti, per prestare i servizi o per eseguire i lavori</w:t>
      </w:r>
      <w:r w:rsidR="006B142A" w:rsidRPr="003D5CAE">
        <w:rPr>
          <w:rFonts w:asciiTheme="minorHAnsi" w:hAnsiTheme="minorHAnsi" w:cstheme="minorHAnsi"/>
          <w:color w:val="000000"/>
        </w:rPr>
        <w:t>;</w:t>
      </w:r>
    </w:p>
    <w:p w14:paraId="5C39BECC" w14:textId="20F7C54D" w:rsidR="006D4D5B" w:rsidRPr="00A31982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lastRenderedPageBreak/>
        <w:t>l</w:t>
      </w:r>
      <w:r w:rsidR="00D920A5">
        <w:rPr>
          <w:rFonts w:asciiTheme="minorHAnsi" w:hAnsiTheme="minorHAnsi" w:cstheme="minorHAnsi"/>
          <w:color w:val="000000"/>
        </w:rPr>
        <w:t>’</w:t>
      </w:r>
      <w:r w:rsidRPr="00A31982">
        <w:rPr>
          <w:rFonts w:asciiTheme="minorHAnsi" w:hAnsiTheme="minorHAnsi" w:cstheme="minorHAnsi"/>
          <w:color w:val="000000"/>
        </w:rPr>
        <w:t>originalità dei lavori, delle forniture o dei servizi proposti dall'offerente</w:t>
      </w:r>
      <w:r w:rsidR="006B142A">
        <w:rPr>
          <w:rFonts w:asciiTheme="minorHAnsi" w:hAnsiTheme="minorHAnsi" w:cstheme="minorHAnsi"/>
          <w:color w:val="000000"/>
        </w:rPr>
        <w:t>.</w:t>
      </w:r>
    </w:p>
    <w:p w14:paraId="5DC26976" w14:textId="499CA5AB" w:rsidR="003D5CAE" w:rsidRDefault="00D920A5" w:rsidP="00A31982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Il successivo comma 5, dell’art. 110, del Codice, individua, inoltre, ulteriori elementi che potrebbero indicare un’offerta anormalmente bassa. Nello specifico, l’offerta potrebbe essere anormalmente bassa in quanto: </w:t>
      </w:r>
    </w:p>
    <w:p w14:paraId="33370E7B" w14:textId="18AFB7E5" w:rsidR="00D920A5" w:rsidRPr="0009362F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non rispetta gli obblighi in materia ambientale, sociale e del lavoro stabiliti dalla normativa europea e nazionale, dai contratti collettivi o dalle disposizioni internazionali di diritto del lavoro indicate nell'</w:t>
      </w:r>
      <w:hyperlink r:id="rId8" w:history="1">
        <w:r w:rsidRPr="0009362F">
          <w:rPr>
            <w:rFonts w:asciiTheme="minorHAnsi" w:hAnsiTheme="minorHAnsi" w:cstheme="minorHAnsi"/>
            <w:color w:val="000000"/>
          </w:rPr>
          <w:t>allegato X alla direttiva 2014/24/UE del Parlamento europeo e del Consiglio del 26 febbraio 2014</w:t>
        </w:r>
      </w:hyperlink>
      <w:r w:rsidRPr="0009362F">
        <w:rPr>
          <w:rFonts w:asciiTheme="minorHAnsi" w:hAnsiTheme="minorHAnsi" w:cstheme="minorHAnsi"/>
          <w:color w:val="000000"/>
        </w:rPr>
        <w:t xml:space="preserve">; </w:t>
      </w:r>
    </w:p>
    <w:p w14:paraId="282E9459" w14:textId="74E3E442" w:rsidR="00D920A5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D920A5">
        <w:rPr>
          <w:rFonts w:asciiTheme="minorHAnsi" w:hAnsiTheme="minorHAnsi" w:cstheme="minorHAnsi"/>
          <w:color w:val="000000"/>
        </w:rPr>
        <w:t>non rispetta gli obblighi di cui all</w:t>
      </w:r>
      <w:r>
        <w:rPr>
          <w:rFonts w:asciiTheme="minorHAnsi" w:hAnsiTheme="minorHAnsi" w:cstheme="minorHAnsi"/>
          <w:color w:val="000000"/>
        </w:rPr>
        <w:t>’</w:t>
      </w:r>
      <w:r w:rsidRPr="00D920A5">
        <w:rPr>
          <w:rFonts w:asciiTheme="minorHAnsi" w:hAnsiTheme="minorHAnsi" w:cstheme="minorHAnsi"/>
          <w:color w:val="000000"/>
        </w:rPr>
        <w:t>art</w:t>
      </w:r>
      <w:r>
        <w:rPr>
          <w:rFonts w:asciiTheme="minorHAnsi" w:hAnsiTheme="minorHAnsi" w:cstheme="minorHAnsi"/>
          <w:color w:val="000000"/>
        </w:rPr>
        <w:t>.</w:t>
      </w:r>
      <w:r w:rsidRPr="00D920A5">
        <w:rPr>
          <w:rFonts w:asciiTheme="minorHAnsi" w:hAnsiTheme="minorHAnsi" w:cstheme="minorHAnsi"/>
          <w:color w:val="000000"/>
        </w:rPr>
        <w:t xml:space="preserve"> 119</w:t>
      </w:r>
      <w:r>
        <w:rPr>
          <w:rFonts w:asciiTheme="minorHAnsi" w:hAnsiTheme="minorHAnsi" w:cstheme="minorHAnsi"/>
          <w:color w:val="000000"/>
        </w:rPr>
        <w:t xml:space="preserve"> del Codice, </w:t>
      </w:r>
      <w:r w:rsidR="001A6F03">
        <w:rPr>
          <w:rFonts w:asciiTheme="minorHAnsi" w:hAnsiTheme="minorHAnsi" w:cstheme="minorHAnsi"/>
          <w:color w:val="000000"/>
        </w:rPr>
        <w:t>in materia di subappalto</w:t>
      </w:r>
      <w:r w:rsidRPr="00D920A5">
        <w:rPr>
          <w:rFonts w:asciiTheme="minorHAnsi" w:hAnsiTheme="minorHAnsi" w:cstheme="minorHAnsi"/>
          <w:color w:val="000000"/>
        </w:rPr>
        <w:t>;</w:t>
      </w:r>
    </w:p>
    <w:p w14:paraId="3FA834B3" w14:textId="5C3250EC" w:rsidR="00D920A5" w:rsidRPr="0009362F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sono incongrui gli oneri aziendali della sicurezza di cui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>art</w:t>
      </w:r>
      <w:r w:rsidR="001A6F03">
        <w:rPr>
          <w:rFonts w:asciiTheme="minorHAnsi" w:hAnsiTheme="minorHAnsi" w:cstheme="minorHAnsi"/>
          <w:color w:val="000000"/>
        </w:rPr>
        <w:t>.</w:t>
      </w:r>
      <w:r w:rsidRPr="0009362F">
        <w:rPr>
          <w:rFonts w:asciiTheme="minorHAnsi" w:hAnsiTheme="minorHAnsi" w:cstheme="minorHAnsi"/>
          <w:color w:val="000000"/>
        </w:rPr>
        <w:t xml:space="preserve"> 108, comma 9,</w:t>
      </w:r>
      <w:r w:rsidR="001A6F03">
        <w:rPr>
          <w:rFonts w:asciiTheme="minorHAnsi" w:hAnsiTheme="minorHAnsi" w:cstheme="minorHAnsi"/>
          <w:color w:val="000000"/>
        </w:rPr>
        <w:t xml:space="preserve"> del </w:t>
      </w:r>
      <w:proofErr w:type="spellStart"/>
      <w:r w:rsidR="001A6F03">
        <w:rPr>
          <w:rFonts w:asciiTheme="minorHAnsi" w:hAnsiTheme="minorHAnsi" w:cstheme="minorHAnsi"/>
          <w:color w:val="000000"/>
        </w:rPr>
        <w:t>D.Lgs.</w:t>
      </w:r>
      <w:proofErr w:type="spellEnd"/>
      <w:r w:rsidR="001A6F03">
        <w:rPr>
          <w:rFonts w:asciiTheme="minorHAnsi" w:hAnsiTheme="minorHAnsi" w:cstheme="minorHAnsi"/>
          <w:color w:val="000000"/>
        </w:rPr>
        <w:t xml:space="preserve"> n. 36/2023,</w:t>
      </w:r>
      <w:r w:rsidRPr="0009362F">
        <w:rPr>
          <w:rFonts w:asciiTheme="minorHAnsi" w:hAnsiTheme="minorHAnsi" w:cstheme="minorHAnsi"/>
          <w:color w:val="000000"/>
        </w:rPr>
        <w:t xml:space="preserve"> rispetto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 xml:space="preserve">entità e alle caratteristiche dei lavori, dei servizi e delle forniture; </w:t>
      </w:r>
    </w:p>
    <w:p w14:paraId="739C7BFE" w14:textId="12F6F08D" w:rsidR="00D920A5" w:rsidRDefault="00D920A5" w:rsidP="0009362F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il costo del personale è inferiore ai minimi salariali retributivi indicati nelle apposite tabelle di cui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>articolo 41, comma 13</w:t>
      </w:r>
      <w:r w:rsidR="001A6F03">
        <w:rPr>
          <w:rFonts w:asciiTheme="minorHAnsi" w:hAnsiTheme="minorHAnsi" w:cstheme="minorHAnsi"/>
          <w:color w:val="000000"/>
        </w:rPr>
        <w:t>, del Codice</w:t>
      </w:r>
      <w:r w:rsidRPr="0009362F">
        <w:rPr>
          <w:rFonts w:asciiTheme="minorHAnsi" w:hAnsiTheme="minorHAnsi" w:cstheme="minorHAnsi"/>
          <w:color w:val="000000"/>
        </w:rPr>
        <w:t>.</w:t>
      </w:r>
    </w:p>
    <w:p w14:paraId="3E6C186F" w14:textId="49DC114E" w:rsidR="00DF5A32" w:rsidRPr="00A31982" w:rsidRDefault="000971B6" w:rsidP="0009362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Più in</w:t>
      </w:r>
      <w:r w:rsidR="00EC6723" w:rsidRPr="00A31982">
        <w:rPr>
          <w:rFonts w:cstheme="minorHAnsi"/>
          <w:sz w:val="24"/>
          <w:szCs w:val="24"/>
        </w:rPr>
        <w:t xml:space="preserve"> generale, comunque, l</w:t>
      </w:r>
      <w:r w:rsidR="00D26DD6" w:rsidRPr="00A31982">
        <w:rPr>
          <w:rFonts w:cstheme="minorHAnsi"/>
          <w:sz w:val="24"/>
          <w:szCs w:val="24"/>
        </w:rPr>
        <w:t xml:space="preserve">’attendibilità dell’offerta </w:t>
      </w:r>
      <w:r w:rsidR="001A6F03">
        <w:rPr>
          <w:rFonts w:cstheme="minorHAnsi"/>
          <w:sz w:val="24"/>
          <w:szCs w:val="24"/>
        </w:rPr>
        <w:t>dovrà essere</w:t>
      </w:r>
      <w:r w:rsidR="001A6F03" w:rsidRPr="00A31982">
        <w:rPr>
          <w:rFonts w:cstheme="minorHAnsi"/>
          <w:sz w:val="24"/>
          <w:szCs w:val="24"/>
        </w:rPr>
        <w:t xml:space="preserve"> </w:t>
      </w:r>
      <w:r w:rsidR="00D26DD6" w:rsidRPr="00A31982">
        <w:rPr>
          <w:rFonts w:cstheme="minorHAnsi"/>
          <w:sz w:val="24"/>
          <w:szCs w:val="24"/>
        </w:rPr>
        <w:t>valutata</w:t>
      </w:r>
      <w:r w:rsidR="001F7BE3" w:rsidRPr="00A31982">
        <w:rPr>
          <w:rFonts w:cstheme="minorHAnsi"/>
          <w:sz w:val="24"/>
          <w:szCs w:val="24"/>
        </w:rPr>
        <w:t xml:space="preserve"> </w:t>
      </w:r>
      <w:r w:rsidR="00D26DD6" w:rsidRPr="00A31982">
        <w:rPr>
          <w:rFonts w:cstheme="minorHAnsi"/>
          <w:sz w:val="24"/>
          <w:szCs w:val="24"/>
        </w:rPr>
        <w:t>nella sua integrità e non con riferimento ad aspetti eventualmente ritenut</w:t>
      </w:r>
      <w:r w:rsidR="001A6F03">
        <w:rPr>
          <w:rFonts w:cstheme="minorHAnsi"/>
          <w:sz w:val="24"/>
          <w:szCs w:val="24"/>
        </w:rPr>
        <w:t xml:space="preserve">i </w:t>
      </w:r>
      <w:r w:rsidR="00D26DD6" w:rsidRPr="00A31982">
        <w:rPr>
          <w:rFonts w:cstheme="minorHAnsi"/>
          <w:sz w:val="24"/>
          <w:szCs w:val="24"/>
        </w:rPr>
        <w:t>incongrui, avulsi dall’incidenza che potrebbero avere sull’offerta economica complessiva</w:t>
      </w:r>
      <w:r w:rsidR="00D26DD6" w:rsidRPr="00A31982">
        <w:rPr>
          <w:rStyle w:val="Rimandonotaapidipagina"/>
          <w:rFonts w:cstheme="minorHAnsi"/>
          <w:sz w:val="24"/>
          <w:szCs w:val="24"/>
        </w:rPr>
        <w:footnoteReference w:id="4"/>
      </w:r>
      <w:r w:rsidR="001A6F03">
        <w:rPr>
          <w:rFonts w:cstheme="minorHAnsi"/>
          <w:sz w:val="24"/>
          <w:szCs w:val="24"/>
        </w:rPr>
        <w:t>.</w:t>
      </w:r>
    </w:p>
    <w:p w14:paraId="3BE6421D" w14:textId="3B407CFF" w:rsidR="001A6F03" w:rsidRDefault="00CD1359" w:rsidP="00A31982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Qu</w:t>
      </w:r>
      <w:r w:rsidR="006252EA" w:rsidRPr="00A31982">
        <w:rPr>
          <w:rFonts w:asciiTheme="minorHAnsi" w:hAnsiTheme="minorHAnsi" w:cstheme="minorHAnsi"/>
          <w:color w:val="000000"/>
        </w:rPr>
        <w:t>a</w:t>
      </w:r>
      <w:r w:rsidRPr="00A31982">
        <w:rPr>
          <w:rFonts w:asciiTheme="minorHAnsi" w:hAnsiTheme="minorHAnsi" w:cstheme="minorHAnsi"/>
          <w:color w:val="000000"/>
        </w:rPr>
        <w:t>lora</w:t>
      </w:r>
      <w:r w:rsidR="00864D68" w:rsidRPr="00A31982">
        <w:rPr>
          <w:rFonts w:asciiTheme="minorHAnsi" w:hAnsiTheme="minorHAnsi" w:cstheme="minorHAnsi"/>
          <w:color w:val="000000"/>
        </w:rPr>
        <w:t xml:space="preserve"> le spiegazioni rese non siano esaustive o nel caso in cui sorga l’esigenza di avere ulteriori delucidazioni, la </w:t>
      </w:r>
      <w:r w:rsidR="001A6F03">
        <w:rPr>
          <w:rFonts w:asciiTheme="minorHAnsi" w:hAnsiTheme="minorHAnsi" w:cstheme="minorHAnsi"/>
          <w:color w:val="000000"/>
        </w:rPr>
        <w:t>S</w:t>
      </w:r>
      <w:r w:rsidR="00864D68" w:rsidRPr="00A31982">
        <w:rPr>
          <w:rFonts w:asciiTheme="minorHAnsi" w:hAnsiTheme="minorHAnsi" w:cstheme="minorHAnsi"/>
          <w:color w:val="000000"/>
        </w:rPr>
        <w:t xml:space="preserve">tazione </w:t>
      </w:r>
      <w:r w:rsidR="001A6F03">
        <w:rPr>
          <w:rFonts w:asciiTheme="minorHAnsi" w:hAnsiTheme="minorHAnsi" w:cstheme="minorHAnsi"/>
          <w:color w:val="000000"/>
        </w:rPr>
        <w:t>A</w:t>
      </w:r>
      <w:r w:rsidR="001A6F03" w:rsidRPr="00A31982">
        <w:rPr>
          <w:rFonts w:asciiTheme="minorHAnsi" w:hAnsiTheme="minorHAnsi" w:cstheme="minorHAnsi"/>
          <w:color w:val="000000"/>
        </w:rPr>
        <w:t xml:space="preserve">ppaltante </w:t>
      </w:r>
      <w:r w:rsidR="00864D68" w:rsidRPr="00A31982">
        <w:rPr>
          <w:rFonts w:asciiTheme="minorHAnsi" w:hAnsiTheme="minorHAnsi" w:cstheme="minorHAnsi"/>
          <w:color w:val="000000"/>
        </w:rPr>
        <w:t>ha facoltà di chiedere ulteriori chiarimenti e/o integrazioni che saranno acquisite per iscritto o mediante contraddittorio con la commissione di gara.</w:t>
      </w:r>
      <w:r w:rsidR="00F61D3E" w:rsidRPr="00A31982">
        <w:rPr>
          <w:rFonts w:asciiTheme="minorHAnsi" w:hAnsiTheme="minorHAnsi" w:cstheme="minorHAnsi"/>
          <w:color w:val="000000"/>
        </w:rPr>
        <w:t xml:space="preserve"> </w:t>
      </w:r>
    </w:p>
    <w:p w14:paraId="571840A0" w14:textId="59EA41AB" w:rsidR="001A6F03" w:rsidRDefault="00F61D3E" w:rsidP="00A31982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 xml:space="preserve">L’ANAC ha ribadito che la disciplina delle offerte anomale contenuta nel Codice dei Contratti Pubblici deve essere interpretata in coerenza con i principi comunitari e, in particolare, con l’articolo 69 della Direttiva n. 2014/24 secondo cui </w:t>
      </w:r>
      <w:r w:rsidR="001A6F03">
        <w:rPr>
          <w:rFonts w:asciiTheme="minorHAnsi" w:hAnsiTheme="minorHAnsi" w:cstheme="minorHAnsi"/>
          <w:color w:val="000000"/>
        </w:rPr>
        <w:t>«</w:t>
      </w:r>
      <w:r w:rsidRPr="0009362F">
        <w:rPr>
          <w:rFonts w:asciiTheme="minorHAnsi" w:hAnsiTheme="minorHAnsi" w:cstheme="minorHAnsi"/>
          <w:i/>
          <w:iCs/>
          <w:color w:val="000000"/>
        </w:rPr>
        <w:t>l’amministrazione aggiudicatrice valuta le informazioni fornite consultando l’offerente</w:t>
      </w:r>
      <w:r w:rsidR="001A6F03">
        <w:rPr>
          <w:rFonts w:asciiTheme="minorHAnsi" w:hAnsiTheme="minorHAnsi" w:cstheme="minorHAnsi"/>
          <w:color w:val="000000"/>
        </w:rPr>
        <w:t>»</w:t>
      </w:r>
      <w:r w:rsidR="001A6F03" w:rsidRPr="00A31982">
        <w:rPr>
          <w:rFonts w:asciiTheme="minorHAnsi" w:hAnsiTheme="minorHAnsi" w:cstheme="minorHAnsi"/>
          <w:color w:val="000000"/>
        </w:rPr>
        <w:t xml:space="preserve">, </w:t>
      </w:r>
      <w:r w:rsidRPr="00A31982">
        <w:rPr>
          <w:rFonts w:asciiTheme="minorHAnsi" w:hAnsiTheme="minorHAnsi" w:cstheme="minorHAnsi"/>
          <w:color w:val="000000"/>
        </w:rPr>
        <w:t xml:space="preserve">quindi garantendo il pieno contraddittorio con l’impresa anche, se necessario, mediante più passaggi, nella forma ritenuta più opportuna, volti a chiarire i profili ancora dubbi o in contestazione dopo la presentazione delle iniziali giustificazioni scritte. Sono pertanto ammessi contraddittori orali tra operatore economico e </w:t>
      </w:r>
      <w:r w:rsidR="001A6F03">
        <w:rPr>
          <w:rFonts w:asciiTheme="minorHAnsi" w:hAnsiTheme="minorHAnsi" w:cstheme="minorHAnsi"/>
          <w:color w:val="000000"/>
        </w:rPr>
        <w:t>S</w:t>
      </w:r>
      <w:r w:rsidRPr="00A31982">
        <w:rPr>
          <w:rFonts w:asciiTheme="minorHAnsi" w:hAnsiTheme="minorHAnsi" w:cstheme="minorHAnsi"/>
          <w:color w:val="000000"/>
        </w:rPr>
        <w:t xml:space="preserve">tazione </w:t>
      </w:r>
      <w:r w:rsidR="001A6F03">
        <w:rPr>
          <w:rFonts w:asciiTheme="minorHAnsi" w:hAnsiTheme="minorHAnsi" w:cstheme="minorHAnsi"/>
          <w:color w:val="000000"/>
        </w:rPr>
        <w:t>A</w:t>
      </w:r>
      <w:r w:rsidR="001A6F03" w:rsidRPr="00A31982">
        <w:rPr>
          <w:rFonts w:asciiTheme="minorHAnsi" w:hAnsiTheme="minorHAnsi" w:cstheme="minorHAnsi"/>
          <w:color w:val="000000"/>
        </w:rPr>
        <w:t xml:space="preserve">ppaltante </w:t>
      </w:r>
      <w:r w:rsidRPr="00A31982">
        <w:rPr>
          <w:rFonts w:asciiTheme="minorHAnsi" w:hAnsiTheme="minorHAnsi" w:cstheme="minorHAnsi"/>
          <w:color w:val="000000"/>
        </w:rPr>
        <w:t>al fine di chiarire le note giustificative rese per iscritto</w:t>
      </w:r>
      <w:r w:rsidR="001A6F03">
        <w:rPr>
          <w:rFonts w:asciiTheme="minorHAnsi" w:hAnsiTheme="minorHAnsi" w:cstheme="minorHAnsi"/>
          <w:color w:val="000000"/>
        </w:rPr>
        <w:t xml:space="preserve">. </w:t>
      </w:r>
    </w:p>
    <w:p w14:paraId="1061DF29" w14:textId="24D029D4" w:rsidR="00F61D3E" w:rsidRPr="00A31982" w:rsidRDefault="001A6F03" w:rsidP="0009362F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</w:t>
      </w:r>
      <w:r w:rsidR="00F61D3E" w:rsidRPr="00A31982">
        <w:rPr>
          <w:rFonts w:asciiTheme="minorHAnsi" w:hAnsiTheme="minorHAnsi" w:cstheme="minorHAnsi"/>
          <w:color w:val="000000"/>
        </w:rPr>
        <w:t>l procedimento di verifica di anomalia è avulso da ogni formalismo, essendo improntato alla massima collaborazione tra l’amministrazione e l’offerente, quale mezzo indispensabile per l’effettiva instaurazione del contraddittorio ed il concreto apprezzamento dell’adeguatezza dell’offerta.</w:t>
      </w:r>
    </w:p>
    <w:p w14:paraId="42961568" w14:textId="60E17791" w:rsidR="00B22B6C" w:rsidRPr="00A31982" w:rsidRDefault="001A6F03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Ai sensi dell’art. 110, comma 3, del Codice, n</w:t>
      </w:r>
      <w:r w:rsidRPr="00A31982">
        <w:rPr>
          <w:rFonts w:asciiTheme="minorHAnsi" w:hAnsiTheme="minorHAnsi" w:cstheme="minorHAnsi"/>
          <w:color w:val="000000"/>
        </w:rPr>
        <w:t xml:space="preserve">on </w:t>
      </w:r>
      <w:r w:rsidR="00B22B6C" w:rsidRPr="00A31982">
        <w:rPr>
          <w:rFonts w:asciiTheme="minorHAnsi" w:hAnsiTheme="minorHAnsi" w:cstheme="minorHAnsi"/>
          <w:color w:val="000000"/>
        </w:rPr>
        <w:t>sono ammesse giustificazioni:</w:t>
      </w:r>
    </w:p>
    <w:p w14:paraId="3353AD67" w14:textId="44B4CF71" w:rsidR="001A6F03" w:rsidRPr="00A31982" w:rsidRDefault="00B22B6C" w:rsidP="0009362F">
      <w:pPr>
        <w:pStyle w:val="NormaleWeb"/>
        <w:numPr>
          <w:ilvl w:val="0"/>
          <w:numId w:val="16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in relazione a trattamenti salariali minimi inderogabili stabiliti dalla legge o da fonti autorizzate dalla legge;</w:t>
      </w:r>
    </w:p>
    <w:p w14:paraId="12BFFE91" w14:textId="760095A7" w:rsidR="00B22B6C" w:rsidRPr="001A6F03" w:rsidRDefault="00B22B6C" w:rsidP="0009362F">
      <w:pPr>
        <w:pStyle w:val="NormaleWeb"/>
        <w:numPr>
          <w:ilvl w:val="0"/>
          <w:numId w:val="16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1A6F03">
        <w:rPr>
          <w:rFonts w:asciiTheme="minorHAnsi" w:hAnsiTheme="minorHAnsi" w:cstheme="minorHAnsi"/>
          <w:color w:val="000000"/>
        </w:rPr>
        <w:lastRenderedPageBreak/>
        <w:t>in relazione agli oneri di sicurezza di cui alla normativa vigente.</w:t>
      </w:r>
    </w:p>
    <w:p w14:paraId="0D832DB7" w14:textId="20AE15B0" w:rsidR="003E218A" w:rsidRPr="00A31982" w:rsidRDefault="00B41CB7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Il RUP dispone l’</w:t>
      </w:r>
      <w:r w:rsidR="00B22B6C" w:rsidRPr="00A31982">
        <w:rPr>
          <w:rFonts w:asciiTheme="minorHAnsi" w:hAnsiTheme="minorHAnsi" w:cstheme="minorHAnsi"/>
          <w:color w:val="000000"/>
        </w:rPr>
        <w:t>esclu</w:t>
      </w:r>
      <w:r w:rsidR="00DF5A32" w:rsidRPr="00A31982">
        <w:rPr>
          <w:rFonts w:asciiTheme="minorHAnsi" w:hAnsiTheme="minorHAnsi" w:cstheme="minorHAnsi"/>
          <w:color w:val="000000"/>
        </w:rPr>
        <w:t>sione</w:t>
      </w:r>
      <w:r w:rsidR="00B22B6C" w:rsidRPr="00A31982">
        <w:rPr>
          <w:rFonts w:asciiTheme="minorHAnsi" w:hAnsiTheme="minorHAnsi" w:cstheme="minorHAnsi"/>
          <w:color w:val="000000"/>
        </w:rPr>
        <w:t xml:space="preserve"> </w:t>
      </w:r>
      <w:r w:rsidRPr="00A31982">
        <w:rPr>
          <w:rFonts w:asciiTheme="minorHAnsi" w:hAnsiTheme="minorHAnsi" w:cstheme="minorHAnsi"/>
          <w:color w:val="000000"/>
        </w:rPr>
        <w:t>del</w:t>
      </w:r>
      <w:r w:rsidR="00B22B6C" w:rsidRPr="00A31982">
        <w:rPr>
          <w:rFonts w:asciiTheme="minorHAnsi" w:hAnsiTheme="minorHAnsi" w:cstheme="minorHAnsi"/>
          <w:color w:val="000000"/>
        </w:rPr>
        <w:t xml:space="preserve">l'offerta se le spiegazioni fornite non giustificano adeguatamente </w:t>
      </w:r>
      <w:r w:rsidR="00EF239F" w:rsidRPr="00A31982">
        <w:rPr>
          <w:rFonts w:asciiTheme="minorHAnsi" w:hAnsiTheme="minorHAnsi" w:cstheme="minorHAnsi"/>
          <w:color w:val="000000"/>
        </w:rPr>
        <w:t>le condizioni economiche proposte</w:t>
      </w:r>
      <w:bookmarkStart w:id="0" w:name="_Hlk146800375"/>
      <w:r w:rsidR="00DF5A32" w:rsidRPr="00A31982">
        <w:rPr>
          <w:rFonts w:asciiTheme="minorHAnsi" w:hAnsiTheme="minorHAnsi" w:cstheme="minorHAnsi"/>
          <w:color w:val="000000"/>
        </w:rPr>
        <w:t>.</w:t>
      </w:r>
    </w:p>
    <w:bookmarkEnd w:id="0"/>
    <w:p w14:paraId="7728630F" w14:textId="77777777" w:rsidR="003E218A" w:rsidRPr="00A31982" w:rsidRDefault="003E218A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08941AA4" w14:textId="6E1176E1" w:rsidR="008E7BBE" w:rsidRPr="00A31982" w:rsidRDefault="008E7BBE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sectPr w:rsidR="008E7BBE" w:rsidRPr="00A31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5CEE" w14:textId="77777777" w:rsidR="00E10CD2" w:rsidRDefault="00E10CD2" w:rsidP="00CB5E54">
      <w:pPr>
        <w:spacing w:after="0" w:line="240" w:lineRule="auto"/>
      </w:pPr>
      <w:r>
        <w:separator/>
      </w:r>
    </w:p>
  </w:endnote>
  <w:endnote w:type="continuationSeparator" w:id="0">
    <w:p w14:paraId="735B2701" w14:textId="77777777" w:rsidR="00E10CD2" w:rsidRDefault="00E10CD2" w:rsidP="00CB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0A18" w14:textId="77777777" w:rsidR="006B7EE9" w:rsidRDefault="006B7E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660045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38AEB5" w14:textId="6D72E95C" w:rsidR="006B7EE9" w:rsidRPr="0009362F" w:rsidRDefault="006B7EE9">
        <w:pPr>
          <w:pStyle w:val="Pidipagina"/>
          <w:jc w:val="center"/>
          <w:rPr>
            <w:sz w:val="18"/>
            <w:szCs w:val="18"/>
          </w:rPr>
        </w:pPr>
        <w:r w:rsidRPr="0009362F">
          <w:rPr>
            <w:sz w:val="18"/>
            <w:szCs w:val="18"/>
          </w:rPr>
          <w:fldChar w:fldCharType="begin"/>
        </w:r>
        <w:r w:rsidRPr="0009362F">
          <w:rPr>
            <w:sz w:val="18"/>
            <w:szCs w:val="18"/>
          </w:rPr>
          <w:instrText>PAGE   \* MERGEFORMAT</w:instrText>
        </w:r>
        <w:r w:rsidRPr="0009362F">
          <w:rPr>
            <w:sz w:val="18"/>
            <w:szCs w:val="18"/>
          </w:rPr>
          <w:fldChar w:fldCharType="separate"/>
        </w:r>
        <w:r w:rsidRPr="0009362F">
          <w:rPr>
            <w:sz w:val="18"/>
            <w:szCs w:val="18"/>
          </w:rPr>
          <w:t>2</w:t>
        </w:r>
        <w:r w:rsidRPr="0009362F">
          <w:rPr>
            <w:sz w:val="18"/>
            <w:szCs w:val="18"/>
          </w:rPr>
          <w:fldChar w:fldCharType="end"/>
        </w:r>
      </w:p>
    </w:sdtContent>
  </w:sdt>
  <w:p w14:paraId="2FCF1AD8" w14:textId="77777777" w:rsidR="006B7EE9" w:rsidRDefault="006B7EE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B88A" w14:textId="77777777" w:rsidR="006B7EE9" w:rsidRDefault="006B7EE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9DD7" w14:textId="77777777" w:rsidR="00E10CD2" w:rsidRDefault="00E10CD2" w:rsidP="00CB5E54">
      <w:pPr>
        <w:spacing w:after="0" w:line="240" w:lineRule="auto"/>
      </w:pPr>
      <w:r>
        <w:separator/>
      </w:r>
    </w:p>
  </w:footnote>
  <w:footnote w:type="continuationSeparator" w:id="0">
    <w:p w14:paraId="4E544236" w14:textId="77777777" w:rsidR="00E10CD2" w:rsidRDefault="00E10CD2" w:rsidP="00CB5E54">
      <w:pPr>
        <w:spacing w:after="0" w:line="240" w:lineRule="auto"/>
      </w:pPr>
      <w:r>
        <w:continuationSeparator/>
      </w:r>
    </w:p>
  </w:footnote>
  <w:footnote w:id="1">
    <w:p w14:paraId="342119D3" w14:textId="0C7E87DB" w:rsidR="00C60399" w:rsidRPr="00A31982" w:rsidRDefault="00C60399" w:rsidP="00C60399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5D6BD4" w:rsidRPr="00A31982">
        <w:rPr>
          <w:rFonts w:cstheme="minorHAnsi"/>
          <w:sz w:val="18"/>
          <w:szCs w:val="18"/>
        </w:rPr>
        <w:t>Al ricorrere di un numero indebitamente elevato di offerte</w:t>
      </w:r>
      <w:r w:rsidR="00B42A90" w:rsidRPr="00A31982">
        <w:rPr>
          <w:rFonts w:cstheme="minorHAnsi"/>
          <w:sz w:val="18"/>
          <w:szCs w:val="18"/>
        </w:rPr>
        <w:t xml:space="preserve"> (maggiore</w:t>
      </w:r>
      <w:r w:rsidR="00C9212E" w:rsidRPr="00A31982">
        <w:rPr>
          <w:rFonts w:cstheme="minorHAnsi"/>
          <w:sz w:val="18"/>
          <w:szCs w:val="18"/>
        </w:rPr>
        <w:t xml:space="preserve"> o uguale a</w:t>
      </w:r>
      <w:r w:rsidR="00B42A90" w:rsidRPr="00A31982">
        <w:rPr>
          <w:rFonts w:cstheme="minorHAnsi"/>
          <w:sz w:val="18"/>
          <w:szCs w:val="18"/>
        </w:rPr>
        <w:t xml:space="preserve"> 5)</w:t>
      </w:r>
      <w:r w:rsidR="005D6BD4" w:rsidRPr="00A31982">
        <w:rPr>
          <w:rFonts w:cstheme="minorHAnsi"/>
          <w:sz w:val="18"/>
          <w:szCs w:val="18"/>
        </w:rPr>
        <w:t xml:space="preserve"> e in presenza di elevati costi e significativi ritardi che la valutazione in contraddittorio di un numero tanto elevato di offerte potrebbe causare, </w:t>
      </w:r>
      <w:r w:rsidRPr="00A31982">
        <w:rPr>
          <w:rFonts w:cstheme="minorHAnsi"/>
          <w:sz w:val="18"/>
          <w:szCs w:val="18"/>
        </w:rPr>
        <w:t>per appalti di lavori e servizi aggiudicati con il criterio del prezzo più basso, di importo inferiore alle soglie di rilevanza europea non di interesse transfrontaliero.</w:t>
      </w:r>
    </w:p>
  </w:footnote>
  <w:footnote w:id="2">
    <w:p w14:paraId="5B3333EB" w14:textId="6D2EA10A" w:rsidR="00A61A81" w:rsidRPr="00A31982" w:rsidRDefault="00A61A81" w:rsidP="00A61A81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sz w:val="18"/>
          <w:szCs w:val="18"/>
        </w:rPr>
        <w:t xml:space="preserve">Inclusi i costi della manodopera e gli oneri aziendali per l’adempimento delle disposizioni in materia di salute e sicurezza sui luoghi di lavoro, indicati nel bando o nell’avviso. </w:t>
      </w:r>
    </w:p>
  </w:footnote>
  <w:footnote w:id="3">
    <w:p w14:paraId="51F149AF" w14:textId="30E4FD96" w:rsidR="00703858" w:rsidRPr="00A31982" w:rsidRDefault="00703858" w:rsidP="00703858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color w:val="000000"/>
          <w:sz w:val="18"/>
          <w:szCs w:val="18"/>
        </w:rPr>
        <w:t xml:space="preserve">A dimostrazione cioè </w:t>
      </w:r>
      <w:r w:rsidRPr="00A31982">
        <w:rPr>
          <w:rFonts w:cstheme="minorHAnsi"/>
          <w:sz w:val="18"/>
          <w:szCs w:val="18"/>
        </w:rPr>
        <w:t>che l’offerta stessa sia tale da consentire il corretto adempimento di tutti gli obblighi previsti nel contratto d’appalto.</w:t>
      </w:r>
    </w:p>
  </w:footnote>
  <w:footnote w:id="4">
    <w:p w14:paraId="6AE40A7C" w14:textId="68B611AC" w:rsidR="00D26DD6" w:rsidRPr="00920621" w:rsidRDefault="00D26DD6" w:rsidP="00D26DD6">
      <w:pPr>
        <w:pStyle w:val="Testonotaapidipagina"/>
        <w:ind w:left="142" w:hanging="142"/>
        <w:jc w:val="both"/>
        <w:rPr>
          <w:rFonts w:asciiTheme="majorHAnsi" w:hAnsiTheme="majorHAnsi" w:cstheme="majorHAnsi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Style w:val="Rimandonotaapidipagina"/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sz w:val="18"/>
          <w:szCs w:val="18"/>
        </w:rPr>
        <w:t>L’ANAC ha evidenziato che la verifica della congruità di un’offerta ha natura globale e sintetica, vertendo sull’attendibilità della medesima nel suo insieme e quindi sulla sua idoneità a fondare un serio affidamento sulla corretta esecuzione dell’appalto, onde il relativo giudizio non ha per oggetto la ricerca di singole inesattezze dell’offerta economica.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41F4" w14:textId="77777777" w:rsidR="006B7EE9" w:rsidRDefault="006B7EE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81D7" w14:textId="77777777" w:rsidR="006B7EE9" w:rsidRDefault="006B7EE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73B0" w14:textId="77777777" w:rsidR="006B7EE9" w:rsidRDefault="006B7E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E41A9"/>
    <w:multiLevelType w:val="hybridMultilevel"/>
    <w:tmpl w:val="56ECEE1A"/>
    <w:lvl w:ilvl="0" w:tplc="8960B41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637A3"/>
    <w:multiLevelType w:val="singleLevel"/>
    <w:tmpl w:val="6AC6CAD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" w15:restartNumberingAfterBreak="0">
    <w:nsid w:val="1E166380"/>
    <w:multiLevelType w:val="hybridMultilevel"/>
    <w:tmpl w:val="E97CE984"/>
    <w:lvl w:ilvl="0" w:tplc="C756A7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576CD"/>
    <w:multiLevelType w:val="multilevel"/>
    <w:tmpl w:val="F33843AE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C2435"/>
    <w:multiLevelType w:val="hybridMultilevel"/>
    <w:tmpl w:val="57282A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3128E"/>
    <w:multiLevelType w:val="hybridMultilevel"/>
    <w:tmpl w:val="123E23F8"/>
    <w:lvl w:ilvl="0" w:tplc="8960B41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5053A"/>
    <w:multiLevelType w:val="hybridMultilevel"/>
    <w:tmpl w:val="3A72B3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712DD"/>
    <w:multiLevelType w:val="multilevel"/>
    <w:tmpl w:val="2910AC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4E8C14BC"/>
    <w:multiLevelType w:val="hybridMultilevel"/>
    <w:tmpl w:val="4FE6A8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B54CC"/>
    <w:multiLevelType w:val="hybridMultilevel"/>
    <w:tmpl w:val="A1B2BD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91557D"/>
    <w:multiLevelType w:val="multilevel"/>
    <w:tmpl w:val="F3C694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66EB2205"/>
    <w:multiLevelType w:val="hybridMultilevel"/>
    <w:tmpl w:val="10A4AC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C97B54"/>
    <w:multiLevelType w:val="multilevel"/>
    <w:tmpl w:val="F33843AE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76BC7"/>
    <w:multiLevelType w:val="hybridMultilevel"/>
    <w:tmpl w:val="F33843AE"/>
    <w:lvl w:ilvl="0" w:tplc="0A4424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044CC"/>
    <w:multiLevelType w:val="hybridMultilevel"/>
    <w:tmpl w:val="B34E580A"/>
    <w:lvl w:ilvl="0" w:tplc="384C1D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A4D37"/>
    <w:multiLevelType w:val="hybridMultilevel"/>
    <w:tmpl w:val="ADA667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152045">
    <w:abstractNumId w:val="4"/>
  </w:num>
  <w:num w:numId="2" w16cid:durableId="2014186525">
    <w:abstractNumId w:val="15"/>
  </w:num>
  <w:num w:numId="3" w16cid:durableId="858085927">
    <w:abstractNumId w:val="7"/>
  </w:num>
  <w:num w:numId="4" w16cid:durableId="1156721239">
    <w:abstractNumId w:val="11"/>
  </w:num>
  <w:num w:numId="5" w16cid:durableId="1621833937">
    <w:abstractNumId w:val="10"/>
  </w:num>
  <w:num w:numId="6" w16cid:durableId="49691116">
    <w:abstractNumId w:val="9"/>
  </w:num>
  <w:num w:numId="7" w16cid:durableId="1489982276">
    <w:abstractNumId w:val="6"/>
  </w:num>
  <w:num w:numId="8" w16cid:durableId="128088816">
    <w:abstractNumId w:val="0"/>
  </w:num>
  <w:num w:numId="9" w16cid:durableId="1214081709">
    <w:abstractNumId w:val="5"/>
  </w:num>
  <w:num w:numId="10" w16cid:durableId="1688557777">
    <w:abstractNumId w:val="1"/>
  </w:num>
  <w:num w:numId="11" w16cid:durableId="230576854">
    <w:abstractNumId w:val="8"/>
  </w:num>
  <w:num w:numId="12" w16cid:durableId="1214347467">
    <w:abstractNumId w:val="2"/>
  </w:num>
  <w:num w:numId="13" w16cid:durableId="1305311747">
    <w:abstractNumId w:val="13"/>
  </w:num>
  <w:num w:numId="14" w16cid:durableId="1766002111">
    <w:abstractNumId w:val="14"/>
  </w:num>
  <w:num w:numId="15" w16cid:durableId="968435947">
    <w:abstractNumId w:val="12"/>
  </w:num>
  <w:num w:numId="16" w16cid:durableId="292293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86"/>
    <w:rsid w:val="000120C6"/>
    <w:rsid w:val="00013B74"/>
    <w:rsid w:val="00020572"/>
    <w:rsid w:val="00022D5E"/>
    <w:rsid w:val="00025523"/>
    <w:rsid w:val="00036F5B"/>
    <w:rsid w:val="00073339"/>
    <w:rsid w:val="0009362F"/>
    <w:rsid w:val="000971B6"/>
    <w:rsid w:val="000D1E35"/>
    <w:rsid w:val="000D6914"/>
    <w:rsid w:val="000E2EB9"/>
    <w:rsid w:val="001019A2"/>
    <w:rsid w:val="00102004"/>
    <w:rsid w:val="001046B8"/>
    <w:rsid w:val="001113B5"/>
    <w:rsid w:val="001207BF"/>
    <w:rsid w:val="00121D9C"/>
    <w:rsid w:val="001270ED"/>
    <w:rsid w:val="00134F82"/>
    <w:rsid w:val="001353FB"/>
    <w:rsid w:val="00144144"/>
    <w:rsid w:val="0015214B"/>
    <w:rsid w:val="0016711C"/>
    <w:rsid w:val="00174563"/>
    <w:rsid w:val="001811DD"/>
    <w:rsid w:val="00196399"/>
    <w:rsid w:val="001A4832"/>
    <w:rsid w:val="001A6F03"/>
    <w:rsid w:val="001B434C"/>
    <w:rsid w:val="001E4DD3"/>
    <w:rsid w:val="001F7BE3"/>
    <w:rsid w:val="00201497"/>
    <w:rsid w:val="0020412F"/>
    <w:rsid w:val="0024319A"/>
    <w:rsid w:val="00265688"/>
    <w:rsid w:val="002745D7"/>
    <w:rsid w:val="00277A8E"/>
    <w:rsid w:val="00282AE0"/>
    <w:rsid w:val="00287C77"/>
    <w:rsid w:val="00292E24"/>
    <w:rsid w:val="002B58CF"/>
    <w:rsid w:val="002B6068"/>
    <w:rsid w:val="002C287F"/>
    <w:rsid w:val="002C42B8"/>
    <w:rsid w:val="002E6CC5"/>
    <w:rsid w:val="002F1BA4"/>
    <w:rsid w:val="00300FA0"/>
    <w:rsid w:val="00301AC8"/>
    <w:rsid w:val="0030688A"/>
    <w:rsid w:val="00313359"/>
    <w:rsid w:val="0031496C"/>
    <w:rsid w:val="00321953"/>
    <w:rsid w:val="00323A32"/>
    <w:rsid w:val="00336303"/>
    <w:rsid w:val="00342169"/>
    <w:rsid w:val="003524F9"/>
    <w:rsid w:val="00360989"/>
    <w:rsid w:val="00385C02"/>
    <w:rsid w:val="003A0210"/>
    <w:rsid w:val="003D4979"/>
    <w:rsid w:val="003D5CAE"/>
    <w:rsid w:val="003E03F2"/>
    <w:rsid w:val="003E218A"/>
    <w:rsid w:val="003E3181"/>
    <w:rsid w:val="003F1D49"/>
    <w:rsid w:val="003F7E63"/>
    <w:rsid w:val="0040246A"/>
    <w:rsid w:val="00402A05"/>
    <w:rsid w:val="00416790"/>
    <w:rsid w:val="004168F0"/>
    <w:rsid w:val="00432FBF"/>
    <w:rsid w:val="00441738"/>
    <w:rsid w:val="00443684"/>
    <w:rsid w:val="00444BC5"/>
    <w:rsid w:val="0044639F"/>
    <w:rsid w:val="004569C9"/>
    <w:rsid w:val="00456DA6"/>
    <w:rsid w:val="00474EEC"/>
    <w:rsid w:val="004760F6"/>
    <w:rsid w:val="00476F60"/>
    <w:rsid w:val="00485591"/>
    <w:rsid w:val="00486E7F"/>
    <w:rsid w:val="00487A0F"/>
    <w:rsid w:val="004B69FE"/>
    <w:rsid w:val="004D20F2"/>
    <w:rsid w:val="004D650D"/>
    <w:rsid w:val="004F5C10"/>
    <w:rsid w:val="00526B80"/>
    <w:rsid w:val="00541430"/>
    <w:rsid w:val="00565E34"/>
    <w:rsid w:val="00580F43"/>
    <w:rsid w:val="00583706"/>
    <w:rsid w:val="005A0DDA"/>
    <w:rsid w:val="005A24A5"/>
    <w:rsid w:val="005A4184"/>
    <w:rsid w:val="005A4338"/>
    <w:rsid w:val="005B27A8"/>
    <w:rsid w:val="005B7C2A"/>
    <w:rsid w:val="005C216B"/>
    <w:rsid w:val="005C4854"/>
    <w:rsid w:val="005C5099"/>
    <w:rsid w:val="005D3602"/>
    <w:rsid w:val="005D4271"/>
    <w:rsid w:val="005D6BD4"/>
    <w:rsid w:val="005D7F84"/>
    <w:rsid w:val="005E545E"/>
    <w:rsid w:val="0060386D"/>
    <w:rsid w:val="0060733B"/>
    <w:rsid w:val="006252EA"/>
    <w:rsid w:val="00637460"/>
    <w:rsid w:val="00647FBA"/>
    <w:rsid w:val="00655EC3"/>
    <w:rsid w:val="00655F7F"/>
    <w:rsid w:val="0066428F"/>
    <w:rsid w:val="00677B79"/>
    <w:rsid w:val="006A23C9"/>
    <w:rsid w:val="006A52BA"/>
    <w:rsid w:val="006B142A"/>
    <w:rsid w:val="006B7EE9"/>
    <w:rsid w:val="006D4D5B"/>
    <w:rsid w:val="006D5EF8"/>
    <w:rsid w:val="006D6935"/>
    <w:rsid w:val="006F51F0"/>
    <w:rsid w:val="006F638B"/>
    <w:rsid w:val="00703858"/>
    <w:rsid w:val="00706E4F"/>
    <w:rsid w:val="007243C7"/>
    <w:rsid w:val="00754CB8"/>
    <w:rsid w:val="007633C7"/>
    <w:rsid w:val="00792830"/>
    <w:rsid w:val="007A1DDE"/>
    <w:rsid w:val="007A6827"/>
    <w:rsid w:val="007B4AEB"/>
    <w:rsid w:val="007C1765"/>
    <w:rsid w:val="007C2539"/>
    <w:rsid w:val="007C4FD7"/>
    <w:rsid w:val="007D6314"/>
    <w:rsid w:val="007D6C82"/>
    <w:rsid w:val="007E7F00"/>
    <w:rsid w:val="007F0A87"/>
    <w:rsid w:val="007F17C4"/>
    <w:rsid w:val="0080036B"/>
    <w:rsid w:val="00802E6B"/>
    <w:rsid w:val="00812298"/>
    <w:rsid w:val="00814DD5"/>
    <w:rsid w:val="00820F2B"/>
    <w:rsid w:val="008313CD"/>
    <w:rsid w:val="00842EC5"/>
    <w:rsid w:val="008547DD"/>
    <w:rsid w:val="00864D68"/>
    <w:rsid w:val="008815CD"/>
    <w:rsid w:val="00887592"/>
    <w:rsid w:val="008A5D63"/>
    <w:rsid w:val="008A6C0E"/>
    <w:rsid w:val="008B0921"/>
    <w:rsid w:val="008B43FD"/>
    <w:rsid w:val="008C413A"/>
    <w:rsid w:val="008D638A"/>
    <w:rsid w:val="008E08F4"/>
    <w:rsid w:val="008E7BBE"/>
    <w:rsid w:val="008F6126"/>
    <w:rsid w:val="008F70B0"/>
    <w:rsid w:val="00920621"/>
    <w:rsid w:val="0092558E"/>
    <w:rsid w:val="009257B6"/>
    <w:rsid w:val="00945C98"/>
    <w:rsid w:val="00960EF4"/>
    <w:rsid w:val="009617A2"/>
    <w:rsid w:val="0097516F"/>
    <w:rsid w:val="009B1142"/>
    <w:rsid w:val="009B302D"/>
    <w:rsid w:val="009C6133"/>
    <w:rsid w:val="009F442F"/>
    <w:rsid w:val="009F4803"/>
    <w:rsid w:val="00A0147B"/>
    <w:rsid w:val="00A23B88"/>
    <w:rsid w:val="00A31982"/>
    <w:rsid w:val="00A355E0"/>
    <w:rsid w:val="00A44FA1"/>
    <w:rsid w:val="00A61A81"/>
    <w:rsid w:val="00A65F34"/>
    <w:rsid w:val="00A703B1"/>
    <w:rsid w:val="00A80FF8"/>
    <w:rsid w:val="00A86EE0"/>
    <w:rsid w:val="00A87A42"/>
    <w:rsid w:val="00A92B6E"/>
    <w:rsid w:val="00AA0295"/>
    <w:rsid w:val="00AC0877"/>
    <w:rsid w:val="00AE391A"/>
    <w:rsid w:val="00AE5352"/>
    <w:rsid w:val="00B05047"/>
    <w:rsid w:val="00B13564"/>
    <w:rsid w:val="00B15BCD"/>
    <w:rsid w:val="00B20CE0"/>
    <w:rsid w:val="00B210C2"/>
    <w:rsid w:val="00B21B88"/>
    <w:rsid w:val="00B22B6C"/>
    <w:rsid w:val="00B40FB9"/>
    <w:rsid w:val="00B41CB7"/>
    <w:rsid w:val="00B42A90"/>
    <w:rsid w:val="00B4481C"/>
    <w:rsid w:val="00B45855"/>
    <w:rsid w:val="00B70E1D"/>
    <w:rsid w:val="00B728D2"/>
    <w:rsid w:val="00B72A2D"/>
    <w:rsid w:val="00B831F9"/>
    <w:rsid w:val="00B8783C"/>
    <w:rsid w:val="00B970AD"/>
    <w:rsid w:val="00BD3B70"/>
    <w:rsid w:val="00BE1833"/>
    <w:rsid w:val="00BF3667"/>
    <w:rsid w:val="00BF4970"/>
    <w:rsid w:val="00BF52DC"/>
    <w:rsid w:val="00BF5AC3"/>
    <w:rsid w:val="00C06B69"/>
    <w:rsid w:val="00C06D3C"/>
    <w:rsid w:val="00C175E2"/>
    <w:rsid w:val="00C245C5"/>
    <w:rsid w:val="00C26B14"/>
    <w:rsid w:val="00C55B17"/>
    <w:rsid w:val="00C60399"/>
    <w:rsid w:val="00C81218"/>
    <w:rsid w:val="00C85C4D"/>
    <w:rsid w:val="00C90365"/>
    <w:rsid w:val="00C9212E"/>
    <w:rsid w:val="00C93819"/>
    <w:rsid w:val="00CB1680"/>
    <w:rsid w:val="00CB5E54"/>
    <w:rsid w:val="00CD08A7"/>
    <w:rsid w:val="00CD1359"/>
    <w:rsid w:val="00CE16C3"/>
    <w:rsid w:val="00CE4E31"/>
    <w:rsid w:val="00CE7886"/>
    <w:rsid w:val="00CF05CC"/>
    <w:rsid w:val="00D10D5F"/>
    <w:rsid w:val="00D26DD6"/>
    <w:rsid w:val="00D3000B"/>
    <w:rsid w:val="00D309ED"/>
    <w:rsid w:val="00D31C43"/>
    <w:rsid w:val="00D346F9"/>
    <w:rsid w:val="00D34CD0"/>
    <w:rsid w:val="00D379F7"/>
    <w:rsid w:val="00D409BD"/>
    <w:rsid w:val="00D42176"/>
    <w:rsid w:val="00D42925"/>
    <w:rsid w:val="00D43743"/>
    <w:rsid w:val="00D566E4"/>
    <w:rsid w:val="00D8283A"/>
    <w:rsid w:val="00D829BA"/>
    <w:rsid w:val="00D8712D"/>
    <w:rsid w:val="00D91BC0"/>
    <w:rsid w:val="00D920A5"/>
    <w:rsid w:val="00D93FFC"/>
    <w:rsid w:val="00D97F3E"/>
    <w:rsid w:val="00DA7AD7"/>
    <w:rsid w:val="00DB18B7"/>
    <w:rsid w:val="00DB5FD7"/>
    <w:rsid w:val="00DB6C11"/>
    <w:rsid w:val="00DE0EB2"/>
    <w:rsid w:val="00DE4273"/>
    <w:rsid w:val="00DE54BC"/>
    <w:rsid w:val="00DF5A32"/>
    <w:rsid w:val="00E10CD2"/>
    <w:rsid w:val="00E3470E"/>
    <w:rsid w:val="00E37A15"/>
    <w:rsid w:val="00E459FA"/>
    <w:rsid w:val="00E5034E"/>
    <w:rsid w:val="00E74E92"/>
    <w:rsid w:val="00E80B49"/>
    <w:rsid w:val="00E92AB2"/>
    <w:rsid w:val="00E92EB8"/>
    <w:rsid w:val="00EA13F1"/>
    <w:rsid w:val="00EA61FF"/>
    <w:rsid w:val="00EA7B20"/>
    <w:rsid w:val="00EC3353"/>
    <w:rsid w:val="00EC3907"/>
    <w:rsid w:val="00EC6723"/>
    <w:rsid w:val="00EE3E3A"/>
    <w:rsid w:val="00EE50EC"/>
    <w:rsid w:val="00EE75FC"/>
    <w:rsid w:val="00EF239F"/>
    <w:rsid w:val="00EF4ACB"/>
    <w:rsid w:val="00F0396D"/>
    <w:rsid w:val="00F05D4D"/>
    <w:rsid w:val="00F06E93"/>
    <w:rsid w:val="00F15D5A"/>
    <w:rsid w:val="00F34D9B"/>
    <w:rsid w:val="00F400D3"/>
    <w:rsid w:val="00F55F38"/>
    <w:rsid w:val="00F5621D"/>
    <w:rsid w:val="00F61D3E"/>
    <w:rsid w:val="00F702EB"/>
    <w:rsid w:val="00F76CA8"/>
    <w:rsid w:val="00F82B93"/>
    <w:rsid w:val="00F86053"/>
    <w:rsid w:val="00F86AF6"/>
    <w:rsid w:val="00F924CA"/>
    <w:rsid w:val="00FA0513"/>
    <w:rsid w:val="00FB4F86"/>
    <w:rsid w:val="00FC1AE5"/>
    <w:rsid w:val="00FC1CF7"/>
    <w:rsid w:val="00FD51E2"/>
    <w:rsid w:val="00FD73E8"/>
    <w:rsid w:val="00FF00F5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6A69"/>
  <w15:chartTrackingRefBased/>
  <w15:docId w15:val="{55264C7C-6B82-4FB6-B802-DBF6DA74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64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64D6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22B6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74E9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5E5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5E5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5E54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A021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A0210"/>
    <w:rPr>
      <w:rFonts w:ascii="Consolas" w:hAnsi="Consolas"/>
      <w:sz w:val="20"/>
      <w:szCs w:val="20"/>
    </w:rPr>
  </w:style>
  <w:style w:type="paragraph" w:styleId="Revisione">
    <w:name w:val="Revision"/>
    <w:hidden/>
    <w:uiPriority w:val="99"/>
    <w:semiHidden/>
    <w:rsid w:val="005A418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B7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EE9"/>
  </w:style>
  <w:style w:type="paragraph" w:styleId="Pidipagina">
    <w:name w:val="footer"/>
    <w:basedOn w:val="Normale"/>
    <w:link w:val="PidipaginaCarattere"/>
    <w:uiPriority w:val="99"/>
    <w:unhideWhenUsed/>
    <w:rsid w:val="006B7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6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legale.wolterskluwer.it/normativa/10LX0000797609ART244?pathId=0a1c0cd33392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A11D-664E-40A4-B095-07A1FC56F29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Luciani, Marco</dc:creator>
  <cp:keywords/>
  <dc:description/>
  <cp:lastModifiedBy>autore</cp:lastModifiedBy>
  <cp:revision>14</cp:revision>
  <dcterms:created xsi:type="dcterms:W3CDTF">2023-10-02T09:57:00Z</dcterms:created>
  <dcterms:modified xsi:type="dcterms:W3CDTF">2024-01-03T12:19:00Z</dcterms:modified>
</cp:coreProperties>
</file>