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98FAC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18A5372" w14:textId="216063DE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3CC2167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7713128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2EAF7E2" w14:textId="796A2273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912D7BA" w14:textId="77B885B8" w:rsidR="005A6E60" w:rsidRDefault="0000000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noProof/>
        </w:rPr>
        <w:pict w14:anchorId="5641673A">
          <v:shapetype id="_x0000_t202" coordsize="21600,21600" o:spt="202" path="m,l,21600r21600,l21600,xe">
            <v:stroke joinstyle="miter"/>
            <v:path gradientshapeok="t" o:connecttype="rect"/>
          </v:shapetype>
          <v:shape id="Text Box 75902" o:spid="_x0000_s2050" type="#_x0000_t202" style="position:absolute;left:0;text-align:left;margin-left:-14.3pt;margin-top:77.5pt;width:728pt;height:327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XIfQIAAI4FAAAOAAAAZHJzL2Uyb0RvYy54bWysVE1v2zAMvQ/YfxB0X51kSbcGdYqsRYcB&#10;RVusHXpWZCkRJouaxMTOfv0o2flo10uHXWxKfHoin0ieX7S1ZRsVogFX8uHJgDPlJFTGLUv+4/H6&#10;w2fOIgpXCQtOlXyrIr+YvX933vipGsEKbKUCIxIXp40v+QrRT4siypWqRTwBrxw5NYRaIC3DsqiC&#10;aIi9tsVoMDgtGgiVDyBVjLR71Tn5LPNrrSTeaR0VMltyig3zN+TvIn2L2bmYLoPwKyP7MMQ/RFEL&#10;4+jSPdWVQMHWwfxFVRsZIILGEwl1AVobqXIOlM1w8CKbh5XwKudC4kS/lyn+P1p5u3nw94Fh+wVa&#10;esAkSOPjNNJmyqfVoU5/ipSRnyTc7mVTLTJJm2ej8eR0QC5JvvFwMjqjBfEUh+M+RPyqoGbJKHmg&#10;d8lyic1NxA66g6TbIlhTXRtr8yLVgrq0gW0EvaLFHCSRP0NZx5qSn36cDDLxM1+upgPDYvkKA/FZ&#10;l65TuWr6sA5SZAu3ViWMdd+VZqbKirwSo5BSuX2cGZ1QmjJ6y8Eef4jqLYe7POhEvhkc7g/XxkHo&#10;VHoubfVzJ4zu8PSGR3knE9tF25fIAqotVU6Arqmil9eGXvdGRLwXgbqIKoImA97RR1ug14He4mwF&#10;4fdr+wlPxU1ezhrqypLHX2sRFGf2m6OyPxuOx6mN82I8+TSiRTj2LI49bl1fApXMkGaQl9lMeLQ7&#10;Uweon2iAzNOt5BJO0t0lx515id2soAEk1XyeQdS4XuCNe/AyUSd5U+0+tk8i+L7AkXrjFnb9K6Yv&#10;6rzDppMO5msEbXITJIE7VXvhqelzG/UDKk2V43VGHcbo7A8AAAD//wMAUEsDBBQABgAIAAAAIQCE&#10;TPM93wAAAAwBAAAPAAAAZHJzL2Rvd25yZXYueG1sTI9BS8NAEIXvgv9hGcGb3a2JJcZsSlBEUEGs&#10;XrxNkzEJZmdDdtum/97pSW/zZh5vvlesZzeoPU2h92xhuTCgiGvf9Nxa+Px4vMpAhYjc4OCZLBwp&#10;wLo8Pyswb/yB32m/ia2SEA45WuhiHHOtQ92Rw7DwI7Hcvv3kMIqcWt1MeJBwN+hrY1baYc/yocOR&#10;7juqfzY7Z+E5/cKHJL7QMfL8VlVP2ZiGV2svL+bqDlSkOf6Z4YQv6FAK09bvuAlqEL1MUrHKkBkp&#10;dXLcrG5ltbWQJakBXRb6f4nyFwAA//8DAFBLAQItABQABgAIAAAAIQC2gziS/gAAAOEBAAATAAAA&#10;AAAAAAAAAAAAAAAAAABbQ29udGVudF9UeXBlc10ueG1sUEsBAi0AFAAGAAgAAAAhADj9If/WAAAA&#10;lAEAAAsAAAAAAAAAAAAAAAAALwEAAF9yZWxzLy5yZWxzUEsBAi0AFAAGAAgAAAAhAFpohch9AgAA&#10;jgUAAA4AAAAAAAAAAAAAAAAALgIAAGRycy9lMm9Eb2MueG1sUEsBAi0AFAAGAAgAAAAhAIRM8z3f&#10;AAAADAEAAA8AAAAAAAAAAAAAAAAA1wQAAGRycy9kb3ducmV2LnhtbFBLBQYAAAAABAAEAPMAAADj&#10;BQAAAAA=&#10;" fillcolor="white [3201]" strokecolor="white [3212]" strokeweight=".5pt">
            <v:textbox>
              <w:txbxContent>
                <w:p w14:paraId="7E50290C" w14:textId="77777777" w:rsidR="005A6E60" w:rsidRDefault="005A6E60" w:rsidP="005A6E60">
                  <w:pPr>
                    <w:ind w:left="-993"/>
                    <w:jc w:val="center"/>
                    <w:rPr>
                      <w:rFonts w:asciiTheme="majorHAnsi" w:hAnsiTheme="majorHAnsi" w:cstheme="majorHAnsi"/>
                      <w:color w:val="2E74B5" w:themeColor="accent5" w:themeShade="BF"/>
                      <w:sz w:val="96"/>
                    </w:rPr>
                  </w:pPr>
                </w:p>
                <w:p w14:paraId="6443A4AC" w14:textId="1ED0D0A0" w:rsidR="005A6E60" w:rsidRPr="00A618D5" w:rsidRDefault="005A6E60" w:rsidP="005A6E60">
                  <w:pPr>
                    <w:jc w:val="center"/>
                    <w:rPr>
                      <w:rFonts w:asciiTheme="majorHAnsi" w:hAnsiTheme="majorHAnsi" w:cstheme="majorHAnsi"/>
                      <w:color w:val="2E74B5" w:themeColor="accent5" w:themeShade="BF"/>
                      <w:sz w:val="56"/>
                    </w:rPr>
                  </w:pPr>
                  <w:r w:rsidRPr="00A618D5">
                    <w:rPr>
                      <w:rFonts w:asciiTheme="majorHAnsi" w:hAnsiTheme="majorHAnsi" w:cstheme="majorHAnsi"/>
                      <w:color w:val="2E74B5" w:themeColor="accent5" w:themeShade="BF"/>
                      <w:sz w:val="96"/>
                    </w:rPr>
                    <w:t>A</w:t>
                  </w:r>
                  <w:r w:rsidRPr="00A618D5">
                    <w:rPr>
                      <w:rFonts w:asciiTheme="majorHAnsi" w:hAnsiTheme="majorHAnsi" w:cstheme="majorHAnsi"/>
                      <w:color w:val="2E74B5" w:themeColor="accent5" w:themeShade="BF"/>
                      <w:sz w:val="56"/>
                    </w:rPr>
                    <w:t xml:space="preserve">LLEGATO </w:t>
                  </w:r>
                  <w:r w:rsidR="00BC5910">
                    <w:rPr>
                      <w:rFonts w:asciiTheme="majorHAnsi" w:hAnsiTheme="majorHAnsi" w:cstheme="majorHAnsi"/>
                      <w:color w:val="2E74B5" w:themeColor="accent5" w:themeShade="BF"/>
                      <w:sz w:val="72"/>
                    </w:rPr>
                    <w:t>1</w:t>
                  </w:r>
                </w:p>
                <w:p w14:paraId="1211494E" w14:textId="3EE40EE2" w:rsidR="005A6E60" w:rsidRPr="000C71E1" w:rsidRDefault="005A6E60" w:rsidP="005A6E60">
                  <w:pPr>
                    <w:jc w:val="center"/>
                    <w:rPr>
                      <w:rFonts w:asciiTheme="majorHAnsi" w:hAnsiTheme="majorHAnsi" w:cstheme="majorHAnsi"/>
                      <w:sz w:val="56"/>
                    </w:rPr>
                  </w:pPr>
                  <w:r w:rsidRPr="005A6E60">
                    <w:rPr>
                      <w:rFonts w:asciiTheme="majorHAnsi" w:hAnsiTheme="majorHAnsi" w:cstheme="majorHAnsi"/>
                      <w:b/>
                      <w:color w:val="2E74B5" w:themeColor="accent5" w:themeShade="BF"/>
                      <w:sz w:val="52"/>
                      <w:szCs w:val="52"/>
                    </w:rPr>
                    <w:t xml:space="preserve">Tabella riepilogativa sulle </w:t>
                  </w:r>
                  <w:r w:rsidR="00F275AA">
                    <w:rPr>
                      <w:rFonts w:asciiTheme="majorHAnsi" w:hAnsiTheme="majorHAnsi" w:cstheme="majorHAnsi"/>
                      <w:b/>
                      <w:color w:val="2E74B5" w:themeColor="accent5" w:themeShade="BF"/>
                      <w:sz w:val="52"/>
                      <w:szCs w:val="52"/>
                    </w:rPr>
                    <w:t xml:space="preserve">principali </w:t>
                  </w:r>
                  <w:r w:rsidRPr="005A6E60">
                    <w:rPr>
                      <w:rFonts w:asciiTheme="majorHAnsi" w:hAnsiTheme="majorHAnsi" w:cstheme="majorHAnsi"/>
                      <w:b/>
                      <w:color w:val="2E74B5" w:themeColor="accent5" w:themeShade="BF"/>
                      <w:sz w:val="52"/>
                      <w:szCs w:val="52"/>
                    </w:rPr>
                    <w:t>novità del nuovo Codice dei Contratti pubblici di cui al Decreto Legislativo 31 marzo 2023, n. 36</w:t>
                  </w:r>
                </w:p>
              </w:txbxContent>
            </v:textbox>
            <w10:wrap anchorx="margin" anchory="margin"/>
          </v:shape>
        </w:pict>
      </w:r>
    </w:p>
    <w:p w14:paraId="46DAC6B2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4E35B17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F78302B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B841869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50014D5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55992D0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38B8462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2758711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026ACE4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41DBDF3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F6FE3E1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C85161C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56D01AA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FDD9B7C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3C9113D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5116CB9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81C4726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571142A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235C21C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7415BB1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525CC06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6B7B432" w14:textId="77777777" w:rsidR="005A6E60" w:rsidRDefault="005A6E60" w:rsidP="007F5AC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4B9FB79" w14:textId="2E38B1BE" w:rsidR="00E84C54" w:rsidRDefault="00E84C54" w:rsidP="003D47E7">
      <w:pPr>
        <w:rPr>
          <w:highlight w:val="yellow"/>
        </w:rPr>
      </w:pPr>
    </w:p>
    <w:p w14:paraId="4FDCE9D5" w14:textId="77777777" w:rsidR="007F4573" w:rsidRPr="00514638" w:rsidRDefault="007F4573" w:rsidP="007F4573">
      <w:pPr>
        <w:spacing w:before="120" w:after="120"/>
        <w:jc w:val="both"/>
        <w:rPr>
          <w:rFonts w:eastAsia="Times New Roman" w:cstheme="minorHAnsi"/>
          <w:sz w:val="24"/>
          <w:szCs w:val="24"/>
          <w:lang w:eastAsia="it-IT"/>
        </w:rPr>
      </w:pPr>
      <w:bookmarkStart w:id="0" w:name="_Hlk144736969"/>
      <w:r w:rsidRPr="007E4407">
        <w:rPr>
          <w:rFonts w:eastAsia="Times New Roman" w:cstheme="minorHAnsi"/>
          <w:sz w:val="24"/>
          <w:szCs w:val="24"/>
          <w:lang w:eastAsia="it-IT"/>
        </w:rPr>
        <w:lastRenderedPageBreak/>
        <w:t xml:space="preserve">Il </w:t>
      </w:r>
      <w:r w:rsidRPr="00514638">
        <w:rPr>
          <w:rFonts w:eastAsia="Times New Roman" w:cstheme="minorHAnsi"/>
          <w:sz w:val="24"/>
          <w:szCs w:val="24"/>
          <w:lang w:eastAsia="it-IT"/>
        </w:rPr>
        <w:t>presente documento di sintesi (di seguito, anche «</w:t>
      </w:r>
      <w:r w:rsidRPr="00514638">
        <w:rPr>
          <w:rFonts w:eastAsia="Times New Roman" w:cstheme="minorHAnsi"/>
          <w:b/>
          <w:bCs/>
          <w:sz w:val="24"/>
          <w:szCs w:val="24"/>
          <w:lang w:eastAsia="it-IT"/>
        </w:rPr>
        <w:t>Tabella</w:t>
      </w:r>
      <w:r w:rsidRPr="00514638">
        <w:rPr>
          <w:rFonts w:eastAsia="Times New Roman" w:cstheme="minorHAnsi"/>
          <w:sz w:val="24"/>
          <w:szCs w:val="24"/>
          <w:lang w:eastAsia="it-IT"/>
        </w:rPr>
        <w:t xml:space="preserve">») riporta le principali </w:t>
      </w:r>
      <w:r>
        <w:rPr>
          <w:rFonts w:eastAsia="Times New Roman" w:cstheme="minorHAnsi"/>
          <w:sz w:val="24"/>
          <w:szCs w:val="24"/>
          <w:lang w:eastAsia="it-IT"/>
        </w:rPr>
        <w:t>novità contenute nelle previsioni di cui al Decreto Legislativo 31 marzo 2023, n. 36 (di seguito, anche «</w:t>
      </w:r>
      <w:r w:rsidRPr="00340BED">
        <w:rPr>
          <w:rFonts w:eastAsia="Times New Roman" w:cstheme="minorHAnsi"/>
          <w:b/>
          <w:bCs/>
          <w:sz w:val="24"/>
          <w:szCs w:val="24"/>
          <w:lang w:eastAsia="it-IT"/>
        </w:rPr>
        <w:t>Codice dei Contratti pubblici</w:t>
      </w:r>
      <w:r>
        <w:rPr>
          <w:rFonts w:eastAsia="Times New Roman" w:cstheme="minorHAnsi"/>
          <w:sz w:val="24"/>
          <w:szCs w:val="24"/>
          <w:lang w:eastAsia="it-IT"/>
        </w:rPr>
        <w:t xml:space="preserve">») al fine orientare l’attività delle Istituzioni Scolastiche nel corso </w:t>
      </w:r>
      <w:r w:rsidRPr="00514638">
        <w:rPr>
          <w:rFonts w:eastAsia="Times New Roman" w:cstheme="minorHAnsi"/>
          <w:sz w:val="24"/>
          <w:szCs w:val="24"/>
          <w:lang w:eastAsia="it-IT"/>
        </w:rPr>
        <w:t>dell’espletamento</w:t>
      </w:r>
      <w:r>
        <w:rPr>
          <w:rFonts w:eastAsia="Times New Roman" w:cstheme="minorHAnsi"/>
          <w:sz w:val="24"/>
          <w:szCs w:val="24"/>
          <w:lang w:eastAsia="it-IT"/>
        </w:rPr>
        <w:t xml:space="preserve"> delle procedure di affidamento</w:t>
      </w:r>
      <w:r w:rsidRPr="00514638">
        <w:rPr>
          <w:rFonts w:eastAsia="Times New Roman" w:cstheme="minorHAnsi"/>
          <w:sz w:val="24"/>
          <w:szCs w:val="24"/>
          <w:lang w:eastAsia="it-IT"/>
        </w:rPr>
        <w:t xml:space="preserve"> e d</w:t>
      </w:r>
      <w:r>
        <w:rPr>
          <w:rFonts w:eastAsia="Times New Roman" w:cstheme="minorHAnsi"/>
          <w:sz w:val="24"/>
          <w:szCs w:val="24"/>
          <w:lang w:eastAsia="it-IT"/>
        </w:rPr>
        <w:t>ell’</w:t>
      </w:r>
      <w:r w:rsidRPr="00514638">
        <w:rPr>
          <w:rFonts w:eastAsia="Times New Roman" w:cstheme="minorHAnsi"/>
          <w:sz w:val="24"/>
          <w:szCs w:val="24"/>
          <w:lang w:eastAsia="it-IT"/>
        </w:rPr>
        <w:t xml:space="preserve">esecuzione dei contratti relativi a beni e servizi. </w:t>
      </w:r>
    </w:p>
    <w:p w14:paraId="69038125" w14:textId="77777777" w:rsidR="007F4573" w:rsidRDefault="007F4573" w:rsidP="007F4573">
      <w:pPr>
        <w:spacing w:before="120" w:after="120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Sul piano metodologico si rappresenta che la presente Tabella prende in esame i profili di più probabile impatto per le Istituzioni scolastiche e, per tale ragione, affronta, nello specifico, le novità del nuovo Codice dei Contratti pubblici in merito ad: (i) affidamenti di b</w:t>
      </w:r>
      <w:r w:rsidRPr="006730B5">
        <w:rPr>
          <w:rFonts w:eastAsia="Times New Roman" w:cstheme="minorHAnsi"/>
          <w:sz w:val="24"/>
          <w:szCs w:val="24"/>
          <w:lang w:eastAsia="it-IT"/>
        </w:rPr>
        <w:t>eni e servizi</w:t>
      </w:r>
      <w:r>
        <w:rPr>
          <w:rFonts w:eastAsia="Times New Roman" w:cstheme="minorHAnsi"/>
          <w:sz w:val="24"/>
          <w:szCs w:val="24"/>
          <w:lang w:eastAsia="it-IT"/>
        </w:rPr>
        <w:t xml:space="preserve">; (ii) affidamenti di importi inferiori alla soglia comunitaria. </w:t>
      </w:r>
    </w:p>
    <w:p w14:paraId="76E0DD62" w14:textId="77777777" w:rsidR="007F4573" w:rsidRPr="00514638" w:rsidRDefault="007F4573" w:rsidP="007F4573">
      <w:pPr>
        <w:spacing w:before="120" w:after="120"/>
        <w:jc w:val="both"/>
        <w:rPr>
          <w:rFonts w:cstheme="minorHAnsi"/>
          <w:sz w:val="24"/>
          <w:szCs w:val="24"/>
        </w:rPr>
      </w:pPr>
      <w:r w:rsidRPr="00514638">
        <w:rPr>
          <w:rFonts w:cstheme="minorHAnsi"/>
          <w:sz w:val="24"/>
          <w:szCs w:val="24"/>
        </w:rPr>
        <w:t xml:space="preserve">La Tabella è strutturata come segue: </w:t>
      </w:r>
    </w:p>
    <w:p w14:paraId="2B99ECBE" w14:textId="77777777" w:rsidR="007F4573" w:rsidRPr="00514638" w:rsidRDefault="007F4573" w:rsidP="007F4573">
      <w:pPr>
        <w:pStyle w:val="Paragrafoelenco"/>
        <w:numPr>
          <w:ilvl w:val="0"/>
          <w:numId w:val="22"/>
        </w:numPr>
        <w:spacing w:before="120" w:after="120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14638">
        <w:rPr>
          <w:rFonts w:cstheme="minorHAnsi"/>
          <w:b/>
          <w:bCs/>
          <w:sz w:val="24"/>
          <w:szCs w:val="24"/>
        </w:rPr>
        <w:t>Oggetto</w:t>
      </w:r>
      <w:r w:rsidRPr="00514638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principali novità suddivise per macro-argomenti previste all’interno del nuovo Codice dei Contratti pubblici; </w:t>
      </w:r>
    </w:p>
    <w:p w14:paraId="4B1BFD7B" w14:textId="77777777" w:rsidR="007F4573" w:rsidRPr="00514638" w:rsidRDefault="007F4573" w:rsidP="007F4573">
      <w:pPr>
        <w:pStyle w:val="Paragrafoelenco"/>
        <w:numPr>
          <w:ilvl w:val="0"/>
          <w:numId w:val="22"/>
        </w:numPr>
        <w:spacing w:before="120" w:after="120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What’s new</w:t>
      </w:r>
      <w:r w:rsidRPr="00514638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s</w:t>
      </w:r>
      <w:r w:rsidRPr="00514638">
        <w:rPr>
          <w:rFonts w:cstheme="minorHAnsi"/>
          <w:sz w:val="24"/>
          <w:szCs w:val="24"/>
        </w:rPr>
        <w:t xml:space="preserve">intesi dei contenuti relativi alle disposizioni richiamate al successivo punto C; </w:t>
      </w:r>
    </w:p>
    <w:p w14:paraId="0BD823F7" w14:textId="17AEF852" w:rsidR="007F4573" w:rsidRDefault="007F4573" w:rsidP="007F4573">
      <w:pPr>
        <w:pStyle w:val="Paragrafoelenco"/>
        <w:numPr>
          <w:ilvl w:val="0"/>
          <w:numId w:val="22"/>
        </w:numPr>
        <w:spacing w:before="120" w:after="120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Fonte</w:t>
      </w:r>
      <w:r w:rsidRPr="00514638">
        <w:rPr>
          <w:rFonts w:cstheme="minorHAnsi"/>
          <w:sz w:val="24"/>
          <w:szCs w:val="24"/>
        </w:rPr>
        <w:t xml:space="preserve">: riferimenti normativi e regolamentari. </w:t>
      </w:r>
    </w:p>
    <w:p w14:paraId="224E445F" w14:textId="699C84DF" w:rsidR="007F4573" w:rsidRDefault="007F4573" w:rsidP="007F4573">
      <w:pPr>
        <w:spacing w:before="120" w:after="120"/>
        <w:ind w:left="142"/>
        <w:jc w:val="both"/>
        <w:rPr>
          <w:rFonts w:cstheme="minorHAnsi"/>
          <w:sz w:val="24"/>
          <w:szCs w:val="24"/>
        </w:rPr>
      </w:pPr>
    </w:p>
    <w:p w14:paraId="34A24C7C" w14:textId="5024E80E" w:rsidR="007F4573" w:rsidRPr="007F4573" w:rsidRDefault="007F4573" w:rsidP="007F4573">
      <w:pPr>
        <w:spacing w:before="120" w:after="120"/>
        <w:ind w:left="142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</w:t>
      </w:r>
    </w:p>
    <w:bookmarkEnd w:id="0"/>
    <w:p w14:paraId="5007A4A8" w14:textId="5044AAAE" w:rsidR="007F4573" w:rsidRDefault="007F4573" w:rsidP="003D47E7">
      <w:pPr>
        <w:rPr>
          <w:highlight w:val="yellow"/>
        </w:rPr>
      </w:pPr>
    </w:p>
    <w:p w14:paraId="7554B365" w14:textId="4D730FE5" w:rsidR="007F4573" w:rsidRDefault="007F4573" w:rsidP="003D47E7">
      <w:pPr>
        <w:rPr>
          <w:highlight w:val="yellow"/>
        </w:rPr>
      </w:pPr>
    </w:p>
    <w:p w14:paraId="523594BD" w14:textId="6C97FA9D" w:rsidR="007F4573" w:rsidRDefault="007F4573" w:rsidP="003D47E7">
      <w:pPr>
        <w:rPr>
          <w:highlight w:val="yellow"/>
        </w:rPr>
      </w:pPr>
    </w:p>
    <w:p w14:paraId="1D763EB7" w14:textId="5C50B8B0" w:rsidR="007F4573" w:rsidRDefault="007F4573" w:rsidP="003D47E7">
      <w:pPr>
        <w:rPr>
          <w:highlight w:val="yellow"/>
        </w:rPr>
      </w:pPr>
    </w:p>
    <w:p w14:paraId="1FCA1959" w14:textId="273B23E8" w:rsidR="007F4573" w:rsidRDefault="007F4573" w:rsidP="003D47E7">
      <w:pPr>
        <w:rPr>
          <w:highlight w:val="yellow"/>
        </w:rPr>
      </w:pPr>
    </w:p>
    <w:p w14:paraId="22DD3414" w14:textId="1B23B0F8" w:rsidR="007F4573" w:rsidRDefault="007F4573" w:rsidP="003D47E7">
      <w:pPr>
        <w:rPr>
          <w:highlight w:val="yellow"/>
        </w:rPr>
      </w:pPr>
    </w:p>
    <w:p w14:paraId="4348DB6E" w14:textId="5D16F3C9" w:rsidR="007F4573" w:rsidRDefault="007F4573" w:rsidP="003D47E7">
      <w:pPr>
        <w:rPr>
          <w:highlight w:val="yellow"/>
        </w:rPr>
      </w:pPr>
    </w:p>
    <w:p w14:paraId="54934447" w14:textId="30AF44F7" w:rsidR="007F4573" w:rsidRDefault="007F4573" w:rsidP="003D47E7">
      <w:pPr>
        <w:rPr>
          <w:highlight w:val="yellow"/>
        </w:rPr>
      </w:pPr>
    </w:p>
    <w:p w14:paraId="4EF58428" w14:textId="3BDBD6DC" w:rsidR="007F4573" w:rsidRDefault="007F4573" w:rsidP="003D47E7">
      <w:pPr>
        <w:rPr>
          <w:highlight w:val="yellow"/>
        </w:rPr>
      </w:pPr>
    </w:p>
    <w:tbl>
      <w:tblPr>
        <w:tblStyle w:val="Grigliatabella"/>
        <w:tblW w:w="15310" w:type="dxa"/>
        <w:tblInd w:w="-431" w:type="dxa"/>
        <w:tblLook w:val="06E0" w:firstRow="1" w:lastRow="1" w:firstColumn="1" w:lastColumn="0" w:noHBand="1" w:noVBand="1"/>
      </w:tblPr>
      <w:tblGrid>
        <w:gridCol w:w="4320"/>
        <w:gridCol w:w="7893"/>
        <w:gridCol w:w="3097"/>
      </w:tblGrid>
      <w:tr w:rsidR="0031530E" w:rsidRPr="005E36C5" w14:paraId="1DEF5162" w14:textId="77777777" w:rsidTr="00834A5D">
        <w:trPr>
          <w:trHeight w:val="840"/>
        </w:trPr>
        <w:tc>
          <w:tcPr>
            <w:tcW w:w="15310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73CA93FA" w14:textId="77777777" w:rsidR="0031530E" w:rsidRPr="006E65FC" w:rsidRDefault="0031530E" w:rsidP="00834A5D">
            <w:pPr>
              <w:spacing w:before="12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E65FC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>Decreto Legislativo 31 marzo 2023, n. 36</w:t>
            </w:r>
          </w:p>
          <w:p w14:paraId="3D9BD2B5" w14:textId="77777777" w:rsidR="0031530E" w:rsidRPr="006E65FC" w:rsidRDefault="0031530E" w:rsidP="00834A5D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color w:val="FFFFFF" w:themeColor="background1"/>
                <w:sz w:val="20"/>
                <w:szCs w:val="20"/>
              </w:rPr>
              <w:t>«</w:t>
            </w:r>
            <w:r w:rsidRPr="006E65FC">
              <w:rPr>
                <w:i/>
                <w:iCs/>
                <w:color w:val="FFFFFF" w:themeColor="background1"/>
                <w:sz w:val="20"/>
                <w:szCs w:val="20"/>
              </w:rPr>
              <w:t>Codice dei contratti pubblici in attuazione dell</w:t>
            </w:r>
            <w:r>
              <w:rPr>
                <w:i/>
                <w:iCs/>
                <w:color w:val="FFFFFF" w:themeColor="background1"/>
                <w:sz w:val="20"/>
                <w:szCs w:val="20"/>
              </w:rPr>
              <w:t>’</w:t>
            </w:r>
            <w:r w:rsidRPr="006E65FC">
              <w:rPr>
                <w:i/>
                <w:iCs/>
                <w:color w:val="FFFFFF" w:themeColor="background1"/>
                <w:sz w:val="20"/>
                <w:szCs w:val="20"/>
              </w:rPr>
              <w:t>articolo 1 della legge 21 giugno 2022, n. 78, recante delega al Governo in materia di contratti pubblici</w:t>
            </w:r>
            <w:r w:rsidRPr="006E65FC">
              <w:rPr>
                <w:color w:val="FFFFFF" w:themeColor="background1"/>
                <w:sz w:val="20"/>
                <w:szCs w:val="20"/>
              </w:rPr>
              <w:t>»</w:t>
            </w:r>
          </w:p>
        </w:tc>
      </w:tr>
      <w:tr w:rsidR="0031530E" w:rsidRPr="005E36C5" w14:paraId="17777D31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0111D819" w14:textId="77777777" w:rsidR="0031530E" w:rsidRPr="006E65FC" w:rsidRDefault="0031530E" w:rsidP="00834A5D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6E65FC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Oggetto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249BF31A" w14:textId="77777777" w:rsidR="0031530E" w:rsidRPr="006E65FC" w:rsidRDefault="0031530E" w:rsidP="00834A5D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What’s new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0DC9F2E2" w14:textId="77777777" w:rsidR="0031530E" w:rsidRPr="006E65FC" w:rsidRDefault="0031530E" w:rsidP="00834A5D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Fonte</w:t>
            </w:r>
          </w:p>
        </w:tc>
      </w:tr>
      <w:tr w:rsidR="0031530E" w:rsidRPr="000D5C1F" w14:paraId="16BABC6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E0A7BA8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 xml:space="preserve">Qualificazione delle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E65FC">
              <w:rPr>
                <w:b/>
                <w:bCs/>
                <w:sz w:val="20"/>
                <w:szCs w:val="20"/>
              </w:rPr>
              <w:t xml:space="preserve">tazioni 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6E65FC">
              <w:rPr>
                <w:b/>
                <w:bCs/>
                <w:sz w:val="20"/>
                <w:szCs w:val="20"/>
              </w:rPr>
              <w:t>ppaltanti e delle centrali di committenza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336BCBA" w14:textId="0AE2EDF4" w:rsidR="0031530E" w:rsidRPr="000D5C1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0D5C1F">
              <w:rPr>
                <w:sz w:val="20"/>
                <w:szCs w:val="20"/>
              </w:rPr>
              <w:t>Possibilità per tutte le S</w:t>
            </w:r>
            <w:r w:rsidRPr="006E65FC">
              <w:rPr>
                <w:sz w:val="20"/>
                <w:szCs w:val="20"/>
              </w:rPr>
              <w:t xml:space="preserve">tazioni Appaltanti di affidare in maniera </w:t>
            </w:r>
            <w:r w:rsidRPr="000D5C1F">
              <w:rPr>
                <w:sz w:val="20"/>
                <w:szCs w:val="20"/>
              </w:rPr>
              <w:t>autonom</w:t>
            </w:r>
            <w:r w:rsidRPr="006E65FC">
              <w:rPr>
                <w:sz w:val="20"/>
                <w:szCs w:val="20"/>
              </w:rPr>
              <w:t>a contratti di importo</w:t>
            </w:r>
            <w:r w:rsidRPr="000D5C1F">
              <w:rPr>
                <w:sz w:val="20"/>
                <w:szCs w:val="20"/>
              </w:rPr>
              <w:t xml:space="preserve"> </w:t>
            </w:r>
            <w:r w:rsidR="0037405C">
              <w:rPr>
                <w:b/>
                <w:bCs/>
                <w:sz w:val="20"/>
                <w:szCs w:val="20"/>
              </w:rPr>
              <w:t>inferiore</w:t>
            </w:r>
            <w:r w:rsidRPr="000D5C1F">
              <w:rPr>
                <w:b/>
                <w:bCs/>
                <w:sz w:val="20"/>
                <w:szCs w:val="20"/>
              </w:rPr>
              <w:t xml:space="preserve"> a </w:t>
            </w:r>
            <w:r w:rsidRPr="006E65FC">
              <w:rPr>
                <w:b/>
                <w:bCs/>
                <w:sz w:val="20"/>
                <w:szCs w:val="20"/>
              </w:rPr>
              <w:t xml:space="preserve">€ </w:t>
            </w:r>
            <w:r w:rsidRPr="000D5C1F">
              <w:rPr>
                <w:b/>
                <w:bCs/>
                <w:sz w:val="20"/>
                <w:szCs w:val="20"/>
              </w:rPr>
              <w:t>140</w:t>
            </w:r>
            <w:r w:rsidRPr="006E65FC">
              <w:rPr>
                <w:b/>
                <w:bCs/>
                <w:sz w:val="20"/>
                <w:szCs w:val="20"/>
              </w:rPr>
              <w:t>.000</w:t>
            </w:r>
            <w:r>
              <w:rPr>
                <w:b/>
                <w:bCs/>
                <w:sz w:val="20"/>
                <w:szCs w:val="20"/>
              </w:rPr>
              <w:t xml:space="preserve">,00 (IVA esclusa) </w:t>
            </w:r>
            <w:r w:rsidRPr="000D5C1F">
              <w:rPr>
                <w:b/>
                <w:bCs/>
                <w:sz w:val="20"/>
                <w:szCs w:val="20"/>
              </w:rPr>
              <w:t>per beni e servizi</w:t>
            </w:r>
            <w:r>
              <w:rPr>
                <w:b/>
                <w:bCs/>
                <w:sz w:val="20"/>
                <w:szCs w:val="20"/>
              </w:rPr>
              <w:t xml:space="preserve"> e </w:t>
            </w:r>
            <w:r w:rsidR="001F226F">
              <w:rPr>
                <w:b/>
                <w:bCs/>
                <w:sz w:val="20"/>
                <w:szCs w:val="20"/>
              </w:rPr>
              <w:t xml:space="preserve">inferiore a </w:t>
            </w:r>
            <w:r w:rsidRPr="009544A9">
              <w:rPr>
                <w:b/>
                <w:bCs/>
                <w:sz w:val="20"/>
                <w:szCs w:val="20"/>
              </w:rPr>
              <w:t>€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544A9">
              <w:rPr>
                <w:b/>
                <w:bCs/>
                <w:sz w:val="20"/>
                <w:szCs w:val="20"/>
              </w:rPr>
              <w:t>500.000,00</w:t>
            </w:r>
            <w:r>
              <w:rPr>
                <w:b/>
                <w:bCs/>
                <w:sz w:val="20"/>
                <w:szCs w:val="20"/>
              </w:rPr>
              <w:t xml:space="preserve"> (IVA esclusa)</w:t>
            </w:r>
            <w:r w:rsidRPr="009544A9">
              <w:rPr>
                <w:b/>
                <w:bCs/>
                <w:sz w:val="20"/>
                <w:szCs w:val="20"/>
              </w:rPr>
              <w:t xml:space="preserve"> per lavori</w:t>
            </w:r>
            <w:r w:rsidRPr="000D5C1F">
              <w:rPr>
                <w:sz w:val="20"/>
                <w:szCs w:val="20"/>
              </w:rPr>
              <w:t xml:space="preserve"> o mediante </w:t>
            </w:r>
            <w:r w:rsidRPr="000D5C1F">
              <w:rPr>
                <w:b/>
                <w:bCs/>
                <w:sz w:val="20"/>
                <w:szCs w:val="20"/>
              </w:rPr>
              <w:t>ordini</w:t>
            </w:r>
            <w:r w:rsidRPr="000D5C1F">
              <w:rPr>
                <w:sz w:val="20"/>
                <w:szCs w:val="20"/>
              </w:rPr>
              <w:t xml:space="preserve"> su strumenti centralizzati. </w:t>
            </w:r>
            <w:r w:rsidRPr="000D5C1F">
              <w:rPr>
                <w:b/>
                <w:bCs/>
                <w:sz w:val="20"/>
                <w:szCs w:val="20"/>
              </w:rPr>
              <w:t>Per importi superiori</w:t>
            </w:r>
            <w:r w:rsidRPr="006E65FC">
              <w:rPr>
                <w:b/>
                <w:bCs/>
                <w:sz w:val="20"/>
                <w:szCs w:val="20"/>
              </w:rPr>
              <w:t xml:space="preserve"> risulta </w:t>
            </w:r>
            <w:r w:rsidRPr="000D5C1F">
              <w:rPr>
                <w:b/>
                <w:bCs/>
                <w:sz w:val="20"/>
                <w:szCs w:val="20"/>
              </w:rPr>
              <w:t xml:space="preserve">necessaria </w:t>
            </w:r>
            <w:r w:rsidRPr="006E65FC">
              <w:rPr>
                <w:b/>
                <w:bCs/>
                <w:sz w:val="20"/>
                <w:szCs w:val="20"/>
              </w:rPr>
              <w:t xml:space="preserve">la </w:t>
            </w:r>
            <w:r w:rsidRPr="000D5C1F">
              <w:rPr>
                <w:b/>
                <w:bCs/>
                <w:sz w:val="20"/>
                <w:szCs w:val="20"/>
              </w:rPr>
              <w:t>qualificazione</w:t>
            </w:r>
            <w:r w:rsidRPr="000D5C1F">
              <w:rPr>
                <w:sz w:val="20"/>
                <w:szCs w:val="20"/>
              </w:rPr>
              <w:t>;</w:t>
            </w:r>
          </w:p>
          <w:p w14:paraId="75F301E2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Previsione di numero tre </w:t>
            </w:r>
            <w:r w:rsidRPr="000D5C1F">
              <w:rPr>
                <w:sz w:val="20"/>
                <w:szCs w:val="20"/>
              </w:rPr>
              <w:t xml:space="preserve">fasce di </w:t>
            </w:r>
            <w:r>
              <w:rPr>
                <w:sz w:val="20"/>
                <w:szCs w:val="20"/>
              </w:rPr>
              <w:t xml:space="preserve">importo per la qualificazione: </w:t>
            </w:r>
          </w:p>
          <w:p w14:paraId="069C44E6" w14:textId="77777777" w:rsidR="0031530E" w:rsidRPr="00411178" w:rsidRDefault="0031530E" w:rsidP="00834A5D">
            <w:pPr>
              <w:pStyle w:val="Paragrafoelenco"/>
              <w:numPr>
                <w:ilvl w:val="0"/>
                <w:numId w:val="1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DA621A">
              <w:rPr>
                <w:b/>
                <w:bCs/>
                <w:sz w:val="20"/>
                <w:szCs w:val="20"/>
              </w:rPr>
              <w:t>qualificazione base o di primo livello</w:t>
            </w:r>
            <w:r w:rsidRPr="00411178">
              <w:rPr>
                <w:sz w:val="20"/>
                <w:szCs w:val="20"/>
              </w:rPr>
              <w:t xml:space="preserve">, per servizi e forniture fino alla soglia di </w:t>
            </w:r>
            <w:r>
              <w:rPr>
                <w:sz w:val="20"/>
                <w:szCs w:val="20"/>
              </w:rPr>
              <w:t xml:space="preserve">€ </w:t>
            </w:r>
            <w:r w:rsidRPr="00411178">
              <w:rPr>
                <w:sz w:val="20"/>
                <w:szCs w:val="20"/>
              </w:rPr>
              <w:t>750.000</w:t>
            </w:r>
            <w:r>
              <w:rPr>
                <w:sz w:val="20"/>
                <w:szCs w:val="20"/>
              </w:rPr>
              <w:t>,00 (IVA esclusa)</w:t>
            </w:r>
            <w:r w:rsidRPr="00411178">
              <w:rPr>
                <w:sz w:val="20"/>
                <w:szCs w:val="20"/>
              </w:rPr>
              <w:t xml:space="preserve"> e per lavori fino a </w:t>
            </w:r>
            <w:r>
              <w:rPr>
                <w:sz w:val="20"/>
                <w:szCs w:val="20"/>
              </w:rPr>
              <w:t xml:space="preserve">€ </w:t>
            </w:r>
            <w:r w:rsidRPr="00411178">
              <w:rPr>
                <w:sz w:val="20"/>
                <w:szCs w:val="20"/>
              </w:rPr>
              <w:t>1 milione</w:t>
            </w:r>
            <w:r>
              <w:rPr>
                <w:sz w:val="20"/>
                <w:szCs w:val="20"/>
              </w:rPr>
              <w:t xml:space="preserve"> (</w:t>
            </w:r>
            <w:r w:rsidRPr="00B02810">
              <w:rPr>
                <w:sz w:val="20"/>
                <w:szCs w:val="20"/>
              </w:rPr>
              <w:t>IVA esclusa</w:t>
            </w:r>
            <w:r>
              <w:rPr>
                <w:sz w:val="20"/>
                <w:szCs w:val="20"/>
              </w:rPr>
              <w:t>)</w:t>
            </w:r>
            <w:r w:rsidRPr="00411178">
              <w:rPr>
                <w:sz w:val="20"/>
                <w:szCs w:val="20"/>
              </w:rPr>
              <w:t>;</w:t>
            </w:r>
          </w:p>
          <w:p w14:paraId="340BE088" w14:textId="77777777" w:rsidR="0031530E" w:rsidRPr="00411178" w:rsidRDefault="0031530E" w:rsidP="00834A5D">
            <w:pPr>
              <w:pStyle w:val="Paragrafoelenco"/>
              <w:numPr>
                <w:ilvl w:val="0"/>
                <w:numId w:val="1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DA621A">
              <w:rPr>
                <w:b/>
                <w:bCs/>
                <w:sz w:val="20"/>
                <w:szCs w:val="20"/>
              </w:rPr>
              <w:t>qualificazione intermedia o di secondo livello</w:t>
            </w:r>
            <w:r>
              <w:rPr>
                <w:sz w:val="20"/>
                <w:szCs w:val="20"/>
              </w:rPr>
              <w:t>,</w:t>
            </w:r>
            <w:r w:rsidRPr="00411178">
              <w:rPr>
                <w:sz w:val="20"/>
                <w:szCs w:val="20"/>
              </w:rPr>
              <w:t xml:space="preserve"> per servizi e forniture fino a</w:t>
            </w:r>
            <w:r>
              <w:rPr>
                <w:sz w:val="20"/>
                <w:szCs w:val="20"/>
              </w:rPr>
              <w:t xml:space="preserve"> €</w:t>
            </w:r>
            <w:r w:rsidRPr="00411178">
              <w:rPr>
                <w:sz w:val="20"/>
                <w:szCs w:val="20"/>
              </w:rPr>
              <w:t xml:space="preserve"> 5 milioni </w:t>
            </w:r>
            <w:r>
              <w:rPr>
                <w:sz w:val="20"/>
                <w:szCs w:val="20"/>
              </w:rPr>
              <w:t xml:space="preserve">(IVA esclusa) </w:t>
            </w:r>
            <w:r w:rsidRPr="00411178">
              <w:rPr>
                <w:sz w:val="20"/>
                <w:szCs w:val="20"/>
              </w:rPr>
              <w:t xml:space="preserve">e per lavori fino </w:t>
            </w:r>
            <w:r>
              <w:rPr>
                <w:sz w:val="20"/>
                <w:szCs w:val="20"/>
              </w:rPr>
              <w:t xml:space="preserve">€ </w:t>
            </w:r>
            <w:r w:rsidRPr="00411178">
              <w:rPr>
                <w:sz w:val="20"/>
                <w:szCs w:val="20"/>
              </w:rPr>
              <w:t>5.382.000</w:t>
            </w:r>
            <w:r>
              <w:rPr>
                <w:sz w:val="20"/>
                <w:szCs w:val="20"/>
              </w:rPr>
              <w:t xml:space="preserve"> (</w:t>
            </w:r>
            <w:r w:rsidRPr="00B02810">
              <w:rPr>
                <w:sz w:val="20"/>
                <w:szCs w:val="20"/>
              </w:rPr>
              <w:t>IVA esclusa</w:t>
            </w:r>
            <w:r>
              <w:rPr>
                <w:sz w:val="20"/>
                <w:szCs w:val="20"/>
              </w:rPr>
              <w:t>)</w:t>
            </w:r>
            <w:r w:rsidRPr="00411178">
              <w:rPr>
                <w:sz w:val="20"/>
                <w:szCs w:val="20"/>
              </w:rPr>
              <w:t>;</w:t>
            </w:r>
          </w:p>
          <w:p w14:paraId="46B184FE" w14:textId="77777777" w:rsidR="0031530E" w:rsidRPr="00411178" w:rsidRDefault="0031530E" w:rsidP="00834A5D">
            <w:pPr>
              <w:pStyle w:val="Paragrafoelenco"/>
              <w:numPr>
                <w:ilvl w:val="0"/>
                <w:numId w:val="1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DA621A">
              <w:rPr>
                <w:b/>
                <w:bCs/>
                <w:sz w:val="20"/>
                <w:szCs w:val="20"/>
              </w:rPr>
              <w:t>qualificazione avanzata o di terzo livello</w:t>
            </w:r>
            <w:r w:rsidRPr="00411178">
              <w:rPr>
                <w:sz w:val="20"/>
                <w:szCs w:val="20"/>
              </w:rPr>
              <w:t>, senza limiti di importo</w:t>
            </w:r>
            <w:r>
              <w:rPr>
                <w:sz w:val="20"/>
                <w:szCs w:val="20"/>
              </w:rPr>
              <w:t>;</w:t>
            </w:r>
          </w:p>
          <w:p w14:paraId="2347D7F8" w14:textId="77777777" w:rsidR="0031530E" w:rsidRPr="000D5C1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72082">
              <w:rPr>
                <w:sz w:val="20"/>
                <w:szCs w:val="20"/>
              </w:rPr>
              <w:t>Presentazione</w:t>
            </w:r>
            <w:r w:rsidRPr="000D5C1F">
              <w:rPr>
                <w:sz w:val="20"/>
                <w:szCs w:val="20"/>
              </w:rPr>
              <w:t xml:space="preserve"> di domande di qualificazione a partire dal </w:t>
            </w:r>
            <w:r w:rsidRPr="000D5C1F">
              <w:rPr>
                <w:b/>
                <w:bCs/>
                <w:sz w:val="20"/>
                <w:szCs w:val="20"/>
              </w:rPr>
              <w:t>1° luglio 2023</w:t>
            </w:r>
            <w:r w:rsidRPr="00225198">
              <w:rPr>
                <w:sz w:val="20"/>
                <w:szCs w:val="20"/>
              </w:rPr>
              <w:t>;</w:t>
            </w:r>
          </w:p>
          <w:p w14:paraId="16351AD1" w14:textId="77777777" w:rsidR="0031530E" w:rsidRPr="0039297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Possibilità per le</w:t>
            </w:r>
            <w:r w:rsidRPr="006E65FC">
              <w:rPr>
                <w:sz w:val="20"/>
                <w:szCs w:val="20"/>
              </w:rPr>
              <w:t xml:space="preserve"> Stazioni Appaltanti </w:t>
            </w:r>
            <w:r w:rsidRPr="000D5C1F">
              <w:rPr>
                <w:sz w:val="20"/>
                <w:szCs w:val="20"/>
              </w:rPr>
              <w:t xml:space="preserve">non qualificate </w:t>
            </w:r>
            <w:r>
              <w:rPr>
                <w:sz w:val="20"/>
                <w:szCs w:val="20"/>
              </w:rPr>
              <w:t>di consultare</w:t>
            </w:r>
            <w:r w:rsidRPr="000D5C1F">
              <w:rPr>
                <w:sz w:val="20"/>
                <w:szCs w:val="20"/>
              </w:rPr>
              <w:t xml:space="preserve"> </w:t>
            </w:r>
            <w:r w:rsidRPr="006E65F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 w:rsidRPr="000D5C1F">
              <w:rPr>
                <w:b/>
                <w:bCs/>
                <w:sz w:val="20"/>
                <w:szCs w:val="20"/>
              </w:rPr>
              <w:t>elenco</w:t>
            </w:r>
            <w:r w:rsidRPr="000D5C1F">
              <w:rPr>
                <w:sz w:val="20"/>
                <w:szCs w:val="20"/>
              </w:rPr>
              <w:t xml:space="preserve"> ANAC e </w:t>
            </w:r>
            <w:r>
              <w:rPr>
                <w:sz w:val="20"/>
                <w:szCs w:val="20"/>
              </w:rPr>
              <w:t>chiedere</w:t>
            </w:r>
            <w:r w:rsidRPr="000D5C1F">
              <w:rPr>
                <w:sz w:val="20"/>
                <w:szCs w:val="20"/>
              </w:rPr>
              <w:t xml:space="preserve"> a C</w:t>
            </w:r>
            <w:r w:rsidRPr="006E65FC">
              <w:rPr>
                <w:sz w:val="20"/>
                <w:szCs w:val="20"/>
              </w:rPr>
              <w:t>entrali di Committenza o ad altre Stazioni Appaltanti Qualificate</w:t>
            </w:r>
            <w:r w:rsidRPr="000D5C1F">
              <w:rPr>
                <w:sz w:val="20"/>
                <w:szCs w:val="20"/>
              </w:rPr>
              <w:t xml:space="preserve"> di svolgere la gara (</w:t>
            </w:r>
            <w:r w:rsidRPr="006E65FC">
              <w:rPr>
                <w:sz w:val="20"/>
                <w:szCs w:val="20"/>
              </w:rPr>
              <w:t xml:space="preserve">previsione del </w:t>
            </w:r>
            <w:r w:rsidRPr="000D5C1F">
              <w:rPr>
                <w:b/>
                <w:bCs/>
                <w:sz w:val="20"/>
                <w:szCs w:val="20"/>
              </w:rPr>
              <w:t>silenzio assenso in 10 gg</w:t>
            </w:r>
            <w:r>
              <w:rPr>
                <w:b/>
                <w:bCs/>
                <w:sz w:val="20"/>
                <w:szCs w:val="20"/>
              </w:rPr>
              <w:t xml:space="preserve"> dalla richiesta</w:t>
            </w:r>
            <w:r w:rsidRPr="000D5C1F">
              <w:rPr>
                <w:sz w:val="20"/>
                <w:szCs w:val="20"/>
              </w:rPr>
              <w:t>; se</w:t>
            </w:r>
            <w:r w:rsidRPr="006E65FC">
              <w:rPr>
                <w:sz w:val="20"/>
                <w:szCs w:val="20"/>
              </w:rPr>
              <w:t xml:space="preserve"> la</w:t>
            </w:r>
            <w:r w:rsidRPr="000D5C1F">
              <w:rPr>
                <w:sz w:val="20"/>
                <w:szCs w:val="20"/>
              </w:rPr>
              <w:t xml:space="preserve"> risposta </w:t>
            </w:r>
            <w:r w:rsidRPr="006E65FC">
              <w:rPr>
                <w:sz w:val="20"/>
                <w:szCs w:val="20"/>
              </w:rPr>
              <w:t xml:space="preserve">è </w:t>
            </w:r>
            <w:r w:rsidRPr="000D5C1F">
              <w:rPr>
                <w:sz w:val="20"/>
                <w:szCs w:val="20"/>
              </w:rPr>
              <w:t xml:space="preserve">negativa </w:t>
            </w:r>
            <w:r w:rsidRPr="000D5C1F">
              <w:rPr>
                <w:b/>
                <w:bCs/>
                <w:sz w:val="20"/>
                <w:szCs w:val="20"/>
              </w:rPr>
              <w:t>assegnazione d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0D5C1F">
              <w:rPr>
                <w:b/>
                <w:bCs/>
                <w:sz w:val="20"/>
                <w:szCs w:val="20"/>
              </w:rPr>
              <w:t>ufficio</w:t>
            </w:r>
            <w:r w:rsidRPr="000D5C1F">
              <w:rPr>
                <w:sz w:val="20"/>
                <w:szCs w:val="20"/>
              </w:rPr>
              <w:t xml:space="preserve"> da parte di ANAC)</w:t>
            </w:r>
            <w:r>
              <w:rPr>
                <w:sz w:val="20"/>
                <w:szCs w:val="20"/>
              </w:rPr>
              <w:t xml:space="preserve">. Il </w:t>
            </w:r>
            <w:r w:rsidRPr="00DA239F">
              <w:rPr>
                <w:sz w:val="20"/>
                <w:szCs w:val="20"/>
              </w:rPr>
              <w:t xml:space="preserve">ricorso </w:t>
            </w:r>
            <w:r>
              <w:rPr>
                <w:sz w:val="20"/>
                <w:szCs w:val="20"/>
              </w:rPr>
              <w:t>a</w:t>
            </w:r>
            <w:r w:rsidRPr="00DA239F">
              <w:rPr>
                <w:sz w:val="20"/>
                <w:szCs w:val="20"/>
              </w:rPr>
              <w:t xml:space="preserve"> stazione appaltante qualificata o a centrale di committenza qualificata </w:t>
            </w:r>
            <w:r>
              <w:rPr>
                <w:sz w:val="20"/>
                <w:szCs w:val="20"/>
              </w:rPr>
              <w:t xml:space="preserve">può essere </w:t>
            </w:r>
            <w:r w:rsidRPr="00DA239F">
              <w:rPr>
                <w:sz w:val="20"/>
                <w:szCs w:val="20"/>
              </w:rPr>
              <w:t>formalizzato</w:t>
            </w:r>
            <w:r w:rsidRPr="000D5C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mediante</w:t>
            </w:r>
            <w:r w:rsidRPr="000D5C1F">
              <w:rPr>
                <w:sz w:val="20"/>
                <w:szCs w:val="20"/>
              </w:rPr>
              <w:t xml:space="preserve"> </w:t>
            </w:r>
            <w:r w:rsidRPr="000D5C1F">
              <w:rPr>
                <w:b/>
                <w:bCs/>
                <w:sz w:val="20"/>
                <w:szCs w:val="20"/>
              </w:rPr>
              <w:t>accordi di cooperazione orizzontale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E526F9D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 xml:space="preserve">Art. 62 del D.Lgs. n. 36/2023; </w:t>
            </w:r>
          </w:p>
          <w:p w14:paraId="0B90898B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63 del D.Lgs. n. 36/2023;</w:t>
            </w:r>
          </w:p>
          <w:p w14:paraId="42F9531E" w14:textId="77777777" w:rsidR="0031530E" w:rsidRPr="0039297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672082">
              <w:rPr>
                <w:sz w:val="20"/>
                <w:szCs w:val="20"/>
              </w:rPr>
              <w:t>Allegato</w:t>
            </w:r>
            <w:r w:rsidRPr="006E65FC">
              <w:rPr>
                <w:sz w:val="20"/>
                <w:szCs w:val="20"/>
              </w:rPr>
              <w:t xml:space="preserve"> II.4 al D.Lgs. n. 36/2023.</w:t>
            </w:r>
          </w:p>
          <w:p w14:paraId="71F67385" w14:textId="77777777" w:rsidR="0031530E" w:rsidRPr="00392972" w:rsidRDefault="0031530E" w:rsidP="00834A5D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1530E" w:rsidRPr="000D5C1F" w14:paraId="2BE15028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4DAF52B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 xml:space="preserve">Responsabile unico del Progetto </w:t>
            </w:r>
            <w:r>
              <w:rPr>
                <w:b/>
                <w:bCs/>
                <w:sz w:val="20"/>
                <w:szCs w:val="20"/>
              </w:rPr>
              <w:t>(RUP)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EFC311D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A80D72">
              <w:rPr>
                <w:sz w:val="20"/>
                <w:szCs w:val="20"/>
              </w:rPr>
              <w:t xml:space="preserve">Introduzione della figura del </w:t>
            </w:r>
            <w:r w:rsidRPr="00A80D72">
              <w:rPr>
                <w:b/>
                <w:bCs/>
                <w:sz w:val="20"/>
                <w:szCs w:val="20"/>
              </w:rPr>
              <w:t>Responsabile Unico di Progetto</w:t>
            </w:r>
            <w:r w:rsidRPr="00A80D7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intesa come responsabile di tutte le </w:t>
            </w:r>
            <w:r w:rsidRPr="0030696B">
              <w:rPr>
                <w:sz w:val="20"/>
                <w:szCs w:val="20"/>
              </w:rPr>
              <w:t>“</w:t>
            </w:r>
            <w:r w:rsidRPr="00411178">
              <w:rPr>
                <w:i/>
                <w:iCs/>
                <w:sz w:val="20"/>
                <w:szCs w:val="20"/>
              </w:rPr>
              <w:t>fasi</w:t>
            </w:r>
            <w:r w:rsidRPr="0030696B">
              <w:rPr>
                <w:sz w:val="20"/>
                <w:szCs w:val="20"/>
              </w:rPr>
              <w:t>” preordinate alla realizzazione di un “</w:t>
            </w:r>
            <w:r w:rsidRPr="00411178">
              <w:rPr>
                <w:i/>
                <w:iCs/>
                <w:sz w:val="20"/>
                <w:szCs w:val="20"/>
              </w:rPr>
              <w:t>progetto</w:t>
            </w:r>
            <w:r w:rsidRPr="0030696B">
              <w:rPr>
                <w:sz w:val="20"/>
                <w:szCs w:val="20"/>
              </w:rPr>
              <w:t>”, o un “</w:t>
            </w:r>
            <w:r w:rsidRPr="00411178">
              <w:rPr>
                <w:i/>
                <w:iCs/>
                <w:sz w:val="20"/>
                <w:szCs w:val="20"/>
              </w:rPr>
              <w:t>intervento pubblico</w:t>
            </w:r>
            <w:r w:rsidRPr="0030696B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>;</w:t>
            </w:r>
          </w:p>
          <w:p w14:paraId="1BF4EBBF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Nomina del RUP tra i dipendenti assunti</w:t>
            </w:r>
            <w:r>
              <w:rPr>
                <w:sz w:val="20"/>
                <w:szCs w:val="20"/>
              </w:rPr>
              <w:t>,</w:t>
            </w:r>
            <w:r w:rsidRPr="006E65FC">
              <w:rPr>
                <w:sz w:val="20"/>
                <w:szCs w:val="20"/>
              </w:rPr>
              <w:t xml:space="preserve"> </w:t>
            </w:r>
            <w:r w:rsidRPr="006E65FC">
              <w:rPr>
                <w:b/>
                <w:bCs/>
                <w:sz w:val="20"/>
                <w:szCs w:val="20"/>
              </w:rPr>
              <w:t>anche a tempo determinato</w:t>
            </w:r>
            <w:r w:rsidRPr="005B2521">
              <w:rPr>
                <w:sz w:val="20"/>
                <w:szCs w:val="20"/>
              </w:rPr>
              <w:t>,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6E65FC">
              <w:rPr>
                <w:sz w:val="20"/>
                <w:szCs w:val="20"/>
              </w:rPr>
              <w:t xml:space="preserve">della </w:t>
            </w:r>
            <w:r>
              <w:rPr>
                <w:sz w:val="20"/>
                <w:szCs w:val="20"/>
              </w:rPr>
              <w:t>S</w:t>
            </w:r>
            <w:r w:rsidRPr="006E65FC">
              <w:rPr>
                <w:sz w:val="20"/>
                <w:szCs w:val="20"/>
              </w:rPr>
              <w:t xml:space="preserve">tazione </w:t>
            </w:r>
            <w:r>
              <w:rPr>
                <w:sz w:val="20"/>
                <w:szCs w:val="20"/>
              </w:rPr>
              <w:t>A</w:t>
            </w:r>
            <w:r w:rsidRPr="006E65FC">
              <w:rPr>
                <w:sz w:val="20"/>
                <w:szCs w:val="20"/>
              </w:rPr>
              <w:t>ppaltante o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ente concedente, </w:t>
            </w:r>
            <w:r w:rsidRPr="006E65FC">
              <w:rPr>
                <w:b/>
                <w:bCs/>
                <w:sz w:val="20"/>
                <w:szCs w:val="20"/>
              </w:rPr>
              <w:t>preferibilmente in servizio presso 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6E65FC">
              <w:rPr>
                <w:b/>
                <w:bCs/>
                <w:sz w:val="20"/>
                <w:szCs w:val="20"/>
              </w:rPr>
              <w:t xml:space="preserve">unità </w:t>
            </w:r>
            <w:r w:rsidRPr="00B04E76">
              <w:rPr>
                <w:b/>
                <w:bCs/>
                <w:sz w:val="20"/>
                <w:szCs w:val="20"/>
              </w:rPr>
              <w:t>organizzativa titolare del potere di spesa</w:t>
            </w:r>
            <w:r w:rsidRPr="00B04E76">
              <w:rPr>
                <w:sz w:val="20"/>
                <w:szCs w:val="20"/>
              </w:rPr>
              <w:t>;</w:t>
            </w:r>
          </w:p>
          <w:p w14:paraId="1E04B96F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B04E76">
              <w:rPr>
                <w:sz w:val="20"/>
                <w:szCs w:val="20"/>
              </w:rPr>
              <w:t>Possibilità per le Stazioni Appaltanti di nominare un responsabile di procedimento per le fasi di programmazione, progettazione ed esecuzione e un responsabile di procedimento per la fase di affidamento;</w:t>
            </w:r>
          </w:p>
          <w:p w14:paraId="364A8FE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9544A9">
              <w:rPr>
                <w:sz w:val="20"/>
                <w:szCs w:val="20"/>
              </w:rPr>
              <w:t>Previsione di</w:t>
            </w:r>
            <w:r>
              <w:rPr>
                <w:b/>
                <w:bCs/>
                <w:sz w:val="20"/>
                <w:szCs w:val="20"/>
              </w:rPr>
              <w:t xml:space="preserve"> attività di supporto al RUP </w:t>
            </w:r>
            <w:r w:rsidRPr="009544A9">
              <w:rPr>
                <w:sz w:val="20"/>
                <w:szCs w:val="20"/>
              </w:rPr>
              <w:t>da parte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E65FC">
              <w:rPr>
                <w:sz w:val="20"/>
                <w:szCs w:val="20"/>
              </w:rPr>
              <w:t xml:space="preserve">di dipendenti della Stazione Appaltante; </w:t>
            </w:r>
          </w:p>
          <w:p w14:paraId="657F2359" w14:textId="77777777" w:rsidR="0031530E" w:rsidRPr="0039297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Possibilità per l</w:t>
            </w:r>
            <w:r w:rsidRPr="006E65FC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S</w:t>
            </w:r>
            <w:r w:rsidRPr="006E65FC">
              <w:rPr>
                <w:sz w:val="20"/>
                <w:szCs w:val="20"/>
              </w:rPr>
              <w:t xml:space="preserve">tazioni </w:t>
            </w:r>
            <w:r>
              <w:rPr>
                <w:sz w:val="20"/>
                <w:szCs w:val="20"/>
              </w:rPr>
              <w:t>A</w:t>
            </w:r>
            <w:r w:rsidRPr="006E65FC">
              <w:rPr>
                <w:sz w:val="20"/>
                <w:szCs w:val="20"/>
              </w:rPr>
              <w:t xml:space="preserve">ppaltanti e gli enti concedenti </w:t>
            </w:r>
            <w:r>
              <w:rPr>
                <w:sz w:val="20"/>
                <w:szCs w:val="20"/>
              </w:rPr>
              <w:t xml:space="preserve">di </w:t>
            </w:r>
            <w:r w:rsidRPr="006E65FC">
              <w:rPr>
                <w:sz w:val="20"/>
                <w:szCs w:val="20"/>
              </w:rPr>
              <w:t>destinare risorse finanziarie non superiori 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1%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importo posto a base di gara per 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affidamento diretto da parte del RUP di incarichi di assistenza al medesimo.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97C016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 xml:space="preserve">Art. 15 del D.Lgs. n. 36/2023; </w:t>
            </w:r>
          </w:p>
          <w:p w14:paraId="054E6765" w14:textId="77777777" w:rsidR="0031530E" w:rsidRPr="000D5C1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Allegato I.2 al D.Lgs. n. 36/2023.</w:t>
            </w:r>
          </w:p>
        </w:tc>
      </w:tr>
      <w:tr w:rsidR="0031530E" w:rsidRPr="000D5C1F" w14:paraId="19E6BAED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DCCC66D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Programmazione dei lavori e degli acquisti di beni e servizi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3E530C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La programmazione per gli acquisti di beni e servizi diventa </w:t>
            </w:r>
            <w:r w:rsidRPr="006E65FC">
              <w:rPr>
                <w:b/>
                <w:bCs/>
                <w:sz w:val="20"/>
                <w:szCs w:val="20"/>
              </w:rPr>
              <w:t>triennale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B593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nel D.Lgs. n. 50/2016 era biennale</w:t>
            </w:r>
            <w:r w:rsidRPr="005B5931">
              <w:rPr>
                <w:sz w:val="20"/>
                <w:szCs w:val="20"/>
              </w:rPr>
              <w:t>)</w:t>
            </w:r>
            <w:r w:rsidRPr="005B2521">
              <w:rPr>
                <w:sz w:val="20"/>
                <w:szCs w:val="20"/>
              </w:rPr>
              <w:t>;</w:t>
            </w:r>
          </w:p>
          <w:p w14:paraId="7A8CC211" w14:textId="77777777" w:rsidR="0031530E" w:rsidRPr="005B2521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I</w:t>
            </w:r>
            <w:r w:rsidRPr="00A80D72">
              <w:rPr>
                <w:sz w:val="20"/>
                <w:szCs w:val="20"/>
              </w:rPr>
              <w:t xml:space="preserve">l programma triennale dei beni e servizi indica gli acquisti di importo pari o superiore a </w:t>
            </w:r>
            <w:r w:rsidRPr="00A80D72">
              <w:rPr>
                <w:b/>
                <w:bCs/>
                <w:sz w:val="20"/>
                <w:szCs w:val="20"/>
              </w:rPr>
              <w:t>€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A80D72">
              <w:rPr>
                <w:b/>
                <w:bCs/>
                <w:sz w:val="20"/>
                <w:szCs w:val="20"/>
              </w:rPr>
              <w:t>140.000</w:t>
            </w:r>
            <w:r w:rsidRPr="006E65FC">
              <w:rPr>
                <w:b/>
                <w:bCs/>
                <w:sz w:val="20"/>
                <w:szCs w:val="20"/>
              </w:rPr>
              <w:t>,00</w:t>
            </w:r>
            <w:r>
              <w:rPr>
                <w:b/>
                <w:bCs/>
                <w:sz w:val="20"/>
                <w:szCs w:val="20"/>
              </w:rPr>
              <w:t xml:space="preserve"> (IVA esclusa)</w:t>
            </w:r>
            <w:r w:rsidRPr="005B2521">
              <w:rPr>
                <w:sz w:val="20"/>
                <w:szCs w:val="20"/>
              </w:rPr>
              <w:t>;</w:t>
            </w:r>
          </w:p>
          <w:p w14:paraId="04FDF17A" w14:textId="65853934" w:rsidR="0031530E" w:rsidRPr="00A80D72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I</w:t>
            </w:r>
            <w:r w:rsidRPr="00A80D72">
              <w:rPr>
                <w:sz w:val="20"/>
                <w:szCs w:val="20"/>
              </w:rPr>
              <w:t xml:space="preserve">l programma triennale dei lavori contiene lavori pubblici di importo superiore a </w:t>
            </w:r>
            <w:r w:rsidRPr="00A80D72">
              <w:rPr>
                <w:b/>
                <w:bCs/>
                <w:sz w:val="20"/>
                <w:szCs w:val="20"/>
              </w:rPr>
              <w:t>€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A80D72">
              <w:rPr>
                <w:b/>
                <w:bCs/>
                <w:sz w:val="20"/>
                <w:szCs w:val="20"/>
              </w:rPr>
              <w:t>150.000</w:t>
            </w:r>
            <w:r w:rsidRPr="006E65FC">
              <w:rPr>
                <w:b/>
                <w:bCs/>
                <w:sz w:val="20"/>
                <w:szCs w:val="20"/>
              </w:rPr>
              <w:t>,00</w:t>
            </w:r>
            <w:r>
              <w:rPr>
                <w:b/>
                <w:bCs/>
                <w:sz w:val="20"/>
                <w:szCs w:val="20"/>
              </w:rPr>
              <w:t xml:space="preserve"> (IVA esclusa)</w:t>
            </w:r>
            <w:r w:rsidRPr="00A80D72">
              <w:rPr>
                <w:sz w:val="20"/>
                <w:szCs w:val="20"/>
              </w:rPr>
              <w:t>, nonché lavori superiori alla soglia di rilevanza europea</w:t>
            </w:r>
            <w:r w:rsidR="00917543">
              <w:rPr>
                <w:sz w:val="20"/>
                <w:szCs w:val="20"/>
              </w:rPr>
              <w:t xml:space="preserve"> pari a € </w:t>
            </w:r>
            <w:r w:rsidR="00917543" w:rsidRPr="00917543">
              <w:rPr>
                <w:sz w:val="20"/>
                <w:szCs w:val="20"/>
              </w:rPr>
              <w:t>5.538.000</w:t>
            </w:r>
            <w:r w:rsidR="00917543">
              <w:rPr>
                <w:sz w:val="20"/>
                <w:szCs w:val="20"/>
              </w:rPr>
              <w:t>,00, IVA esclusa</w:t>
            </w:r>
            <w:r w:rsidRPr="00A80D72">
              <w:rPr>
                <w:sz w:val="20"/>
                <w:szCs w:val="20"/>
              </w:rPr>
              <w:t xml:space="preserve"> (</w:t>
            </w:r>
            <w:r w:rsidR="00917543">
              <w:rPr>
                <w:sz w:val="20"/>
                <w:szCs w:val="20"/>
              </w:rPr>
              <w:t>fino al 31 dicembre 2023, pari a</w:t>
            </w:r>
            <w:r w:rsidR="00917543" w:rsidRPr="00917543">
              <w:rPr>
                <w:sz w:val="20"/>
                <w:szCs w:val="20"/>
              </w:rPr>
              <w:t xml:space="preserve"> </w:t>
            </w:r>
            <w:r w:rsidRPr="00917543">
              <w:rPr>
                <w:sz w:val="20"/>
                <w:szCs w:val="20"/>
              </w:rPr>
              <w:t>€ 5.382.000,00, IVA esclusa</w:t>
            </w:r>
            <w:r w:rsidRPr="00A80D72">
              <w:rPr>
                <w:sz w:val="20"/>
                <w:szCs w:val="20"/>
              </w:rPr>
              <w:t>), per i quali è necessaria la previa approvazione del documento di fattibilità delle alternative progettuali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D258CFF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37 del D.Lgs. n. 36/2023;</w:t>
            </w:r>
          </w:p>
          <w:p w14:paraId="449EC48A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Allegato I. 5 al D.Lgs. n. 36/2023.</w:t>
            </w:r>
          </w:p>
        </w:tc>
      </w:tr>
      <w:tr w:rsidR="0031530E" w:rsidRPr="000D5C1F" w14:paraId="45AE535F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39DD2F1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Affidamenti sotto-soglia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8B22DE9" w14:textId="77777777" w:rsidR="0031530E" w:rsidRPr="00106231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9544A9">
              <w:rPr>
                <w:b/>
                <w:bCs/>
                <w:sz w:val="20"/>
                <w:szCs w:val="20"/>
              </w:rPr>
              <w:t xml:space="preserve">Innalzamento delle soglie per </w:t>
            </w:r>
            <w:r>
              <w:rPr>
                <w:b/>
                <w:bCs/>
                <w:sz w:val="20"/>
                <w:szCs w:val="20"/>
              </w:rPr>
              <w:t>l’</w:t>
            </w:r>
            <w:r w:rsidRPr="009544A9">
              <w:rPr>
                <w:b/>
                <w:bCs/>
                <w:sz w:val="20"/>
                <w:szCs w:val="20"/>
              </w:rPr>
              <w:t>affidamento diretto di beni e servizi</w:t>
            </w:r>
            <w:r w:rsidRPr="0010623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inferiore a </w:t>
            </w:r>
            <w:r w:rsidRPr="006E65FC">
              <w:rPr>
                <w:sz w:val="20"/>
                <w:szCs w:val="20"/>
              </w:rPr>
              <w:t>€</w:t>
            </w:r>
            <w:r w:rsidRPr="00106231">
              <w:rPr>
                <w:sz w:val="20"/>
                <w:szCs w:val="20"/>
              </w:rPr>
              <w:t xml:space="preserve"> 140</w:t>
            </w:r>
            <w:r w:rsidRPr="006E65FC">
              <w:rPr>
                <w:sz w:val="20"/>
                <w:szCs w:val="20"/>
              </w:rPr>
              <w:t>.000,00</w:t>
            </w:r>
            <w:r>
              <w:rPr>
                <w:sz w:val="20"/>
                <w:szCs w:val="20"/>
              </w:rPr>
              <w:t>, IVA esclusa</w:t>
            </w:r>
            <w:r w:rsidRPr="00106231">
              <w:rPr>
                <w:sz w:val="20"/>
                <w:szCs w:val="20"/>
              </w:rPr>
              <w:t>);</w:t>
            </w:r>
          </w:p>
          <w:p w14:paraId="06980CA1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Principio di rotazione degli affidamenti</w:t>
            </w:r>
            <w:r w:rsidRPr="006E65FC">
              <w:rPr>
                <w:sz w:val="20"/>
                <w:szCs w:val="20"/>
              </w:rPr>
              <w:t xml:space="preserve">: </w:t>
            </w:r>
          </w:p>
          <w:p w14:paraId="12292CD2" w14:textId="77777777" w:rsidR="0031530E" w:rsidRPr="00E83115" w:rsidRDefault="0031530E" w:rsidP="00834A5D">
            <w:pPr>
              <w:pStyle w:val="Paragrafoelenco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 xml:space="preserve">il quale si applica al contraente uscente </w:t>
            </w:r>
            <w:r w:rsidRPr="006E65FC">
              <w:rPr>
                <w:sz w:val="20"/>
                <w:szCs w:val="20"/>
              </w:rPr>
              <w:t>nel caso in cui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106231">
              <w:rPr>
                <w:sz w:val="20"/>
                <w:szCs w:val="20"/>
              </w:rPr>
              <w:t xml:space="preserve">due affidamenti consecutivi abbiano a oggetto una commessa rientrante nello stesso settore </w:t>
            </w:r>
            <w:r w:rsidRPr="00E83115">
              <w:rPr>
                <w:sz w:val="20"/>
                <w:szCs w:val="20"/>
              </w:rPr>
              <w:t>merceologico oppure nello stesso settore di servizi e non anche agli operatori economici invitati e non aggiudicatari della precedente procedura;</w:t>
            </w:r>
          </w:p>
          <w:p w14:paraId="50A92DD5" w14:textId="77777777" w:rsidR="0031530E" w:rsidRPr="00E83115" w:rsidRDefault="0031530E" w:rsidP="00834A5D">
            <w:pPr>
              <w:pStyle w:val="Paragrafoelenco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83115">
              <w:rPr>
                <w:b/>
                <w:bCs/>
                <w:sz w:val="20"/>
                <w:szCs w:val="20"/>
              </w:rPr>
              <w:t>il quale può essere derogato</w:t>
            </w:r>
            <w:r w:rsidRPr="00E83115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05503167" w14:textId="77777777" w:rsidR="0031530E" w:rsidRPr="00E83115" w:rsidRDefault="0031530E" w:rsidP="00834A5D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83115">
              <w:rPr>
                <w:rFonts w:cstheme="minorHAnsi"/>
                <w:sz w:val="20"/>
                <w:szCs w:val="20"/>
              </w:rPr>
              <w:t>in caso di affidamento diretto di servizi e forniture di importo inferiore a € 5.000,00</w:t>
            </w:r>
            <w:r>
              <w:rPr>
                <w:rFonts w:cstheme="minorHAnsi"/>
                <w:sz w:val="20"/>
                <w:szCs w:val="20"/>
              </w:rPr>
              <w:t xml:space="preserve"> (IVA esclusa)</w:t>
            </w:r>
            <w:r w:rsidRPr="00E83115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7083FAE8" w14:textId="77777777" w:rsidR="0031530E" w:rsidRPr="00E83115" w:rsidRDefault="0031530E" w:rsidP="00834A5D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83115">
              <w:rPr>
                <w:rFonts w:cstheme="minorHAnsi"/>
                <w:sz w:val="20"/>
                <w:szCs w:val="20"/>
              </w:rPr>
              <w:t>in casi motivati e al ricorrere di entrambi i seguenti presupposti: (i) in relazione alla struttura del mercato e alla concreta assenza di alternative, (ii) nonché nell’ipotesi in cui il precedente contratto sia stato eseguito accuratamente (art. 49, comma 4, del Codice);</w:t>
            </w:r>
          </w:p>
          <w:p w14:paraId="123D82DB" w14:textId="77777777" w:rsidR="0031530E" w:rsidRPr="00E83115" w:rsidRDefault="0031530E" w:rsidP="00834A5D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BF58CA">
              <w:rPr>
                <w:rFonts w:cstheme="minorHAnsi"/>
                <w:b/>
                <w:bCs/>
                <w:sz w:val="20"/>
                <w:szCs w:val="20"/>
              </w:rPr>
              <w:t>solo con riferimento alle procedure negoziate senza bando</w:t>
            </w:r>
            <w:r w:rsidRPr="00E83115">
              <w:rPr>
                <w:rFonts w:cstheme="minorHAnsi"/>
                <w:sz w:val="20"/>
                <w:szCs w:val="20"/>
              </w:rPr>
              <w:t xml:space="preserve"> di cui al</w:t>
            </w:r>
            <w:r>
              <w:rPr>
                <w:rFonts w:cstheme="minorHAnsi"/>
                <w:sz w:val="20"/>
                <w:szCs w:val="20"/>
              </w:rPr>
              <w:t>l’</w:t>
            </w:r>
            <w:r w:rsidRPr="00E83115">
              <w:rPr>
                <w:rFonts w:cstheme="minorHAnsi"/>
                <w:sz w:val="20"/>
                <w:szCs w:val="20"/>
              </w:rPr>
              <w:t>art. 50, comma 1, lett. c), d) ed e), ove l’indagine di mercato sia effettuata senza porre limiti al numero di operatori economici (art. 49, comma 5, del Codice). </w:t>
            </w:r>
          </w:p>
          <w:p w14:paraId="5CD1C6AD" w14:textId="77777777" w:rsidR="0031530E" w:rsidRPr="00E83115" w:rsidRDefault="0031530E" w:rsidP="00834A5D">
            <w:pPr>
              <w:pStyle w:val="Paragrafoelenco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83115">
              <w:rPr>
                <w:sz w:val="20"/>
                <w:szCs w:val="20"/>
              </w:rPr>
              <w:t xml:space="preserve">per le Stazioni Appaltanti che abbiano ripartito gli affidamenti in </w:t>
            </w:r>
            <w:r>
              <w:rPr>
                <w:sz w:val="20"/>
                <w:szCs w:val="20"/>
              </w:rPr>
              <w:t>“</w:t>
            </w:r>
            <w:r w:rsidRPr="00E83115">
              <w:rPr>
                <w:b/>
                <w:bCs/>
                <w:sz w:val="20"/>
                <w:szCs w:val="20"/>
              </w:rPr>
              <w:t>fasce</w:t>
            </w:r>
            <w:r>
              <w:rPr>
                <w:sz w:val="20"/>
                <w:szCs w:val="20"/>
              </w:rPr>
              <w:t>”</w:t>
            </w:r>
            <w:r w:rsidRPr="00E83115">
              <w:rPr>
                <w:sz w:val="20"/>
                <w:szCs w:val="20"/>
              </w:rPr>
              <w:t xml:space="preserve">, nell’ambito di un proprio regolamento interno (All. II.1), applicazione della rotazione solo con riferimento a ciascuna </w:t>
            </w:r>
            <w:r>
              <w:rPr>
                <w:sz w:val="20"/>
                <w:szCs w:val="20"/>
              </w:rPr>
              <w:t>“</w:t>
            </w:r>
            <w:r w:rsidRPr="00E83115">
              <w:rPr>
                <w:sz w:val="20"/>
                <w:szCs w:val="20"/>
              </w:rPr>
              <w:t>fascia</w:t>
            </w:r>
            <w:r>
              <w:rPr>
                <w:sz w:val="20"/>
                <w:szCs w:val="20"/>
              </w:rPr>
              <w:t>”</w:t>
            </w:r>
            <w:r w:rsidRPr="00E83115">
              <w:rPr>
                <w:sz w:val="20"/>
                <w:szCs w:val="20"/>
              </w:rPr>
              <w:t>;</w:t>
            </w:r>
          </w:p>
          <w:p w14:paraId="76BFC0BF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P</w:t>
            </w:r>
            <w:r w:rsidRPr="007F3E6F">
              <w:rPr>
                <w:sz w:val="20"/>
                <w:szCs w:val="20"/>
              </w:rPr>
              <w:t xml:space="preserve">ossibilità di affidare lavori con procedura negoziata senza bando fino a </w:t>
            </w:r>
            <w:r>
              <w:rPr>
                <w:sz w:val="20"/>
                <w:szCs w:val="20"/>
              </w:rPr>
              <w:t>€</w:t>
            </w:r>
            <w:r w:rsidRPr="007F3E6F">
              <w:rPr>
                <w:sz w:val="20"/>
                <w:szCs w:val="20"/>
              </w:rPr>
              <w:t xml:space="preserve"> 5.382.000</w:t>
            </w:r>
            <w:r>
              <w:rPr>
                <w:sz w:val="20"/>
                <w:szCs w:val="20"/>
              </w:rPr>
              <w:t>,00 (</w:t>
            </w:r>
            <w:r w:rsidRPr="007F3E6F">
              <w:rPr>
                <w:sz w:val="20"/>
                <w:szCs w:val="20"/>
              </w:rPr>
              <w:t>IVA esclusa</w:t>
            </w:r>
            <w:r>
              <w:rPr>
                <w:sz w:val="20"/>
                <w:szCs w:val="20"/>
              </w:rPr>
              <w:t>)</w:t>
            </w:r>
            <w:r w:rsidRPr="007F3E6F">
              <w:rPr>
                <w:sz w:val="20"/>
                <w:szCs w:val="20"/>
              </w:rPr>
              <w:t>;</w:t>
            </w:r>
          </w:p>
          <w:p w14:paraId="355260CA" w14:textId="77777777" w:rsidR="0031530E" w:rsidRPr="009544A9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9544A9">
              <w:rPr>
                <w:sz w:val="20"/>
                <w:szCs w:val="20"/>
              </w:rPr>
              <w:lastRenderedPageBreak/>
              <w:t xml:space="preserve">Per contratti di importo inferiore a € 40.000,00 </w:t>
            </w:r>
            <w:r>
              <w:rPr>
                <w:sz w:val="20"/>
                <w:szCs w:val="20"/>
              </w:rPr>
              <w:t xml:space="preserve">(IVA esclusa), </w:t>
            </w:r>
            <w:r w:rsidRPr="009544A9">
              <w:rPr>
                <w:sz w:val="20"/>
                <w:szCs w:val="20"/>
              </w:rPr>
              <w:t xml:space="preserve">possibilità </w:t>
            </w:r>
            <w:r>
              <w:rPr>
                <w:sz w:val="20"/>
                <w:szCs w:val="20"/>
              </w:rPr>
              <w:t xml:space="preserve">per le Stazioni Appaltanti </w:t>
            </w:r>
            <w:r w:rsidRPr="009544A9">
              <w:rPr>
                <w:sz w:val="20"/>
                <w:szCs w:val="20"/>
              </w:rPr>
              <w:t xml:space="preserve">di procedere al </w:t>
            </w:r>
            <w:r w:rsidRPr="009544A9">
              <w:rPr>
                <w:b/>
                <w:bCs/>
                <w:sz w:val="20"/>
                <w:szCs w:val="20"/>
              </w:rPr>
              <w:t>controllo su</w:t>
            </w:r>
            <w:r>
              <w:rPr>
                <w:b/>
                <w:bCs/>
                <w:sz w:val="20"/>
                <w:szCs w:val="20"/>
              </w:rPr>
              <w:t>l possesso dei</w:t>
            </w:r>
            <w:r w:rsidRPr="009544A9">
              <w:rPr>
                <w:b/>
                <w:bCs/>
                <w:sz w:val="20"/>
                <w:szCs w:val="20"/>
              </w:rPr>
              <w:t xml:space="preserve"> requisiti </w:t>
            </w:r>
            <w:r>
              <w:rPr>
                <w:b/>
                <w:bCs/>
                <w:sz w:val="20"/>
                <w:szCs w:val="20"/>
              </w:rPr>
              <w:t xml:space="preserve">richiesti mediante individuazione di un </w:t>
            </w:r>
            <w:r w:rsidRPr="009544A9">
              <w:rPr>
                <w:b/>
                <w:bCs/>
                <w:sz w:val="20"/>
                <w:szCs w:val="20"/>
              </w:rPr>
              <w:t>campione</w:t>
            </w:r>
            <w:r>
              <w:rPr>
                <w:b/>
                <w:bCs/>
                <w:sz w:val="20"/>
                <w:szCs w:val="20"/>
              </w:rPr>
              <w:t xml:space="preserve"> di operatori economici</w:t>
            </w:r>
            <w:r w:rsidRPr="009544A9">
              <w:rPr>
                <w:sz w:val="20"/>
                <w:szCs w:val="20"/>
              </w:rPr>
              <w:t>;</w:t>
            </w:r>
          </w:p>
          <w:p w14:paraId="3457F389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Possibilità di richiedere la </w:t>
            </w:r>
            <w:r w:rsidRPr="006E65FC">
              <w:rPr>
                <w:b/>
                <w:bCs/>
                <w:sz w:val="20"/>
                <w:szCs w:val="20"/>
              </w:rPr>
              <w:t xml:space="preserve">garanzia provvisoria </w:t>
            </w:r>
            <w:r w:rsidRPr="006E65FC">
              <w:rPr>
                <w:sz w:val="20"/>
                <w:szCs w:val="20"/>
              </w:rPr>
              <w:t>solo se vi sono specifiche esigenze (e non oltre</w:t>
            </w:r>
            <w:r>
              <w:rPr>
                <w:sz w:val="20"/>
                <w:szCs w:val="20"/>
              </w:rPr>
              <w:t xml:space="preserve"> l’</w:t>
            </w:r>
            <w:r w:rsidRPr="006E65FC">
              <w:rPr>
                <w:sz w:val="20"/>
                <w:szCs w:val="20"/>
              </w:rPr>
              <w:t>1%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importo previsto nell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avviso o nell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invito per il contratto oggetto di affidamento);</w:t>
            </w:r>
          </w:p>
          <w:p w14:paraId="2D26938E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Possibilità di non richiedere la </w:t>
            </w:r>
            <w:r w:rsidRPr="006E65FC">
              <w:rPr>
                <w:b/>
                <w:bCs/>
                <w:sz w:val="20"/>
                <w:szCs w:val="20"/>
              </w:rPr>
              <w:t>garanzia definitiva</w:t>
            </w:r>
            <w:r w:rsidRPr="006E65FC">
              <w:rPr>
                <w:sz w:val="20"/>
                <w:szCs w:val="20"/>
              </w:rPr>
              <w:t xml:space="preserve"> in casi motivati, anche </w:t>
            </w:r>
            <w:r>
              <w:rPr>
                <w:sz w:val="20"/>
                <w:szCs w:val="20"/>
              </w:rPr>
              <w:t>nel</w:t>
            </w:r>
            <w:r w:rsidRPr="006E65FC">
              <w:rPr>
                <w:sz w:val="20"/>
                <w:szCs w:val="20"/>
              </w:rPr>
              <w:t xml:space="preserve"> caso di contratti a valere su accordi quadro di importo inferiore a</w:t>
            </w:r>
            <w:r>
              <w:rPr>
                <w:sz w:val="20"/>
                <w:szCs w:val="20"/>
              </w:rPr>
              <w:t>lle</w:t>
            </w:r>
            <w:r w:rsidRPr="006E65FC">
              <w:rPr>
                <w:sz w:val="20"/>
                <w:szCs w:val="20"/>
              </w:rPr>
              <w:t xml:space="preserve"> soglie </w:t>
            </w:r>
            <w:r>
              <w:rPr>
                <w:sz w:val="20"/>
                <w:szCs w:val="20"/>
              </w:rPr>
              <w:t>euro-unitarie</w:t>
            </w:r>
            <w:r w:rsidRPr="006E65FC">
              <w:rPr>
                <w:sz w:val="20"/>
                <w:szCs w:val="20"/>
              </w:rPr>
              <w:t>. Quando richiesta, la garanzia</w:t>
            </w:r>
            <w:r>
              <w:rPr>
                <w:sz w:val="20"/>
                <w:szCs w:val="20"/>
              </w:rPr>
              <w:t xml:space="preserve"> definitiva</w:t>
            </w:r>
            <w:r w:rsidRPr="006E65FC">
              <w:rPr>
                <w:sz w:val="20"/>
                <w:szCs w:val="20"/>
              </w:rPr>
              <w:t xml:space="preserve"> avrà una soglia massima del 5%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importo contrattuale;</w:t>
            </w:r>
          </w:p>
          <w:p w14:paraId="3BF77EAF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Mancata applicazione dei termini </w:t>
            </w:r>
            <w:r w:rsidRPr="006E65FC">
              <w:rPr>
                <w:sz w:val="20"/>
                <w:szCs w:val="20"/>
              </w:rPr>
              <w:t xml:space="preserve">di </w:t>
            </w:r>
            <w:r w:rsidRPr="006E65FC">
              <w:rPr>
                <w:i/>
                <w:iCs/>
                <w:sz w:val="20"/>
                <w:szCs w:val="20"/>
              </w:rPr>
              <w:t>stand still</w:t>
            </w:r>
            <w:r w:rsidRPr="006E65FC">
              <w:rPr>
                <w:sz w:val="20"/>
                <w:szCs w:val="20"/>
              </w:rPr>
              <w:t xml:space="preserve"> in relazione a </w:t>
            </w:r>
            <w:r w:rsidRPr="005B5931">
              <w:rPr>
                <w:b/>
                <w:bCs/>
                <w:sz w:val="20"/>
                <w:szCs w:val="20"/>
              </w:rPr>
              <w:t>tutti</w:t>
            </w:r>
            <w:r w:rsidRPr="006E65FC">
              <w:rPr>
                <w:sz w:val="20"/>
                <w:szCs w:val="20"/>
              </w:rPr>
              <w:t xml:space="preserve"> i contratti sotto-soglia.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0C3E016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 xml:space="preserve">Art. 48-55 del D.Lgs. n. 36/2023; </w:t>
            </w:r>
          </w:p>
          <w:p w14:paraId="15785DAC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Allegato II.1 al D.Lgs. n. 36/2023.</w:t>
            </w:r>
          </w:p>
        </w:tc>
      </w:tr>
      <w:tr w:rsidR="0031530E" w:rsidRPr="00F275AA" w14:paraId="3F614C98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BC12CB7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Criteri di aggiudicazione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DD5414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7432D1">
              <w:rPr>
                <w:rFonts w:cstheme="minorHAnsi"/>
                <w:b/>
                <w:bCs/>
                <w:sz w:val="20"/>
                <w:szCs w:val="20"/>
              </w:rPr>
              <w:t>Estensione delle ipotesi tassative</w:t>
            </w:r>
            <w:r w:rsidRPr="00E02216">
              <w:rPr>
                <w:rFonts w:cstheme="minorHAnsi"/>
                <w:sz w:val="20"/>
                <w:szCs w:val="20"/>
              </w:rPr>
              <w:t xml:space="preserve"> in cui la Stazione Appaltante ha </w:t>
            </w:r>
            <w:r w:rsidRPr="007432D1">
              <w:rPr>
                <w:rFonts w:cstheme="minorHAnsi"/>
                <w:b/>
                <w:bCs/>
                <w:sz w:val="20"/>
                <w:szCs w:val="20"/>
              </w:rPr>
              <w:t>l’obbligo</w:t>
            </w:r>
            <w:r w:rsidRPr="00E02216">
              <w:rPr>
                <w:rFonts w:cstheme="minorHAnsi"/>
                <w:sz w:val="20"/>
                <w:szCs w:val="20"/>
              </w:rPr>
              <w:t xml:space="preserve"> di </w:t>
            </w:r>
            <w:r w:rsidRPr="007432D1">
              <w:rPr>
                <w:rFonts w:cstheme="minorHAnsi"/>
                <w:b/>
                <w:bCs/>
                <w:sz w:val="20"/>
                <w:szCs w:val="20"/>
              </w:rPr>
              <w:t>aggiudicare il contratto mediante il criterio dell’offerta economicamente più vantaggiosa</w:t>
            </w:r>
            <w:r w:rsidRPr="00E02216">
              <w:rPr>
                <w:rFonts w:cstheme="minorHAnsi"/>
                <w:sz w:val="20"/>
                <w:szCs w:val="20"/>
              </w:rPr>
              <w:t xml:space="preserve"> individuata mediante il miglior rapporto qualità prezzo e, in particolare: </w:t>
            </w:r>
          </w:p>
          <w:p w14:paraId="61EF56CF" w14:textId="77777777" w:rsidR="0031530E" w:rsidRPr="00E02216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i contratti relativi ai servizi sociali e di ristorazione ospedaliera, assistenziale e scolastica, nonché ai servizi ad alta intensità di manodopera, come definiti dall'articolo 2, comma 1, lettera e), dell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’A</w:t>
            </w: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llegato I.1;</w:t>
            </w:r>
          </w:p>
          <w:p w14:paraId="35E23158" w14:textId="77777777" w:rsidR="0031530E" w:rsidRPr="00B02810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i contratti relativi all'affidamento dei servizi di ingegneria e architettura e degli altri servizi di natura tecnica e intellettuale di importo pari o superiore a 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€ </w:t>
            </w: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140.00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0,00, IVA esclusa</w:t>
            </w: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;</w:t>
            </w:r>
          </w:p>
          <w:p w14:paraId="418BD742" w14:textId="77777777" w:rsidR="0031530E" w:rsidRPr="00B02810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B02810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i contratti di servizi e le forniture di importo pari o superiore a €140.000,00, IVA 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esclusa,</w:t>
            </w:r>
            <w:r w:rsidRPr="00B02810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caratterizzati da notevole contenuto tecnologico o che hanno un carattere innovativo;</w:t>
            </w:r>
          </w:p>
          <w:p w14:paraId="2CCDD419" w14:textId="77777777" w:rsidR="0031530E" w:rsidRPr="00E02216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gli affidamenti in caso di dialogo competitivo e di partenariato per l'innovazione;</w:t>
            </w:r>
          </w:p>
          <w:p w14:paraId="6F4E83BE" w14:textId="77777777" w:rsidR="0031530E" w:rsidRPr="00E02216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gli affidamenti di appalto integrato;</w:t>
            </w:r>
          </w:p>
          <w:p w14:paraId="322106DC" w14:textId="77777777" w:rsidR="0031530E" w:rsidRPr="00E02216" w:rsidRDefault="0031530E" w:rsidP="00834A5D">
            <w:pPr>
              <w:pStyle w:val="Paragrafoelenco"/>
              <w:numPr>
                <w:ilvl w:val="0"/>
                <w:numId w:val="17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eastAsia="Times New Roman" w:cstheme="minorHAnsi"/>
                <w:sz w:val="20"/>
                <w:szCs w:val="20"/>
                <w:lang w:eastAsia="it-IT"/>
              </w:rPr>
              <w:t>i contratti relativi ai lavori caratterizzati da notevole contenuto tecnologico o con carattere innovativo.</w:t>
            </w:r>
          </w:p>
          <w:p w14:paraId="3811030F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cstheme="minorHAnsi"/>
                <w:sz w:val="20"/>
                <w:szCs w:val="20"/>
              </w:rPr>
              <w:t xml:space="preserve">Per i </w:t>
            </w:r>
            <w:r w:rsidRPr="007432D1">
              <w:rPr>
                <w:rFonts w:cstheme="minorHAnsi"/>
                <w:b/>
                <w:bCs/>
                <w:sz w:val="20"/>
                <w:szCs w:val="20"/>
              </w:rPr>
              <w:t>servizi di natura intellettuale</w:t>
            </w:r>
            <w:r w:rsidRPr="00E02216">
              <w:rPr>
                <w:rFonts w:cstheme="minorHAnsi"/>
                <w:sz w:val="20"/>
                <w:szCs w:val="20"/>
              </w:rPr>
              <w:t>, obbligo di utilizzare il criterio dell’offerta economicamente più vantaggiosa individuata mediante il miglior rapporto qualità prezzo solo nel caso di procedura di importo pari o superiore a € 140.000,00</w:t>
            </w:r>
            <w:r>
              <w:rPr>
                <w:rFonts w:cstheme="minorHAnsi"/>
                <w:sz w:val="20"/>
                <w:szCs w:val="20"/>
              </w:rPr>
              <w:t xml:space="preserve"> (IVA esclusa)</w:t>
            </w:r>
            <w:r w:rsidRPr="00E02216">
              <w:rPr>
                <w:rFonts w:cstheme="minorHAnsi"/>
                <w:sz w:val="20"/>
                <w:szCs w:val="20"/>
              </w:rPr>
              <w:t xml:space="preserve"> (in vigenza del D.Lgs. n. 50/2016 la soglia era di € 40.000,00</w:t>
            </w:r>
            <w:r>
              <w:rPr>
                <w:rFonts w:cstheme="minorHAnsi"/>
                <w:sz w:val="20"/>
                <w:szCs w:val="20"/>
              </w:rPr>
              <w:t>, IVA esclusa</w:t>
            </w:r>
            <w:r w:rsidRPr="00E02216">
              <w:rPr>
                <w:rFonts w:cstheme="minorHAnsi"/>
                <w:sz w:val="20"/>
                <w:szCs w:val="20"/>
              </w:rPr>
              <w:t>);</w:t>
            </w:r>
          </w:p>
          <w:p w14:paraId="7FAF27D1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cstheme="minorHAnsi"/>
                <w:sz w:val="20"/>
                <w:szCs w:val="20"/>
              </w:rPr>
              <w:t>Eliminazione del tetto massimo per il punteggio economico (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30%</w:t>
            </w:r>
            <w:r w:rsidRPr="00E02216">
              <w:rPr>
                <w:rFonts w:cstheme="minorHAnsi"/>
                <w:sz w:val="20"/>
                <w:szCs w:val="20"/>
              </w:rPr>
              <w:t xml:space="preserve">), </w:t>
            </w:r>
            <w:r w:rsidRPr="00DA621A">
              <w:rPr>
                <w:rFonts w:cstheme="minorHAnsi"/>
                <w:b/>
                <w:bCs/>
                <w:sz w:val="20"/>
                <w:szCs w:val="20"/>
              </w:rPr>
              <w:t>ad eccezione dei servizi ad alta intensità di manodopera</w:t>
            </w:r>
            <w:r w:rsidRPr="00E02216">
              <w:rPr>
                <w:rFonts w:cstheme="minorHAnsi"/>
                <w:sz w:val="20"/>
                <w:szCs w:val="20"/>
              </w:rPr>
              <w:t>;</w:t>
            </w:r>
          </w:p>
          <w:p w14:paraId="7D97872A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Previsione del t</w:t>
            </w:r>
            <w:r w:rsidRPr="00E02216">
              <w:rPr>
                <w:rFonts w:cstheme="minorHAnsi"/>
                <w:sz w:val="20"/>
                <w:szCs w:val="20"/>
              </w:rPr>
              <w:t>etto massimo per il punteggio economico (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10%</w:t>
            </w:r>
            <w:r w:rsidRPr="00E02216">
              <w:rPr>
                <w:rFonts w:cstheme="minorHAnsi"/>
                <w:sz w:val="20"/>
                <w:szCs w:val="20"/>
              </w:rPr>
              <w:t xml:space="preserve">) per beni e servizi informatici in contesto di 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tutela di interessi nazionali strategici</w:t>
            </w:r>
            <w:r w:rsidRPr="00E02216">
              <w:rPr>
                <w:rFonts w:cstheme="minorHAnsi"/>
                <w:sz w:val="20"/>
                <w:szCs w:val="20"/>
              </w:rPr>
              <w:t>;</w:t>
            </w:r>
          </w:p>
          <w:p w14:paraId="39295B68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cstheme="minorHAnsi"/>
                <w:sz w:val="20"/>
                <w:szCs w:val="20"/>
              </w:rPr>
              <w:lastRenderedPageBreak/>
              <w:t xml:space="preserve">Specifico rilievo a 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cybersicurezza</w:t>
            </w:r>
            <w:r w:rsidRPr="00E02216">
              <w:rPr>
                <w:rFonts w:cstheme="minorHAnsi"/>
                <w:sz w:val="20"/>
                <w:szCs w:val="20"/>
              </w:rPr>
              <w:t xml:space="preserve"> in appalti di beni e servizi informatici</w:t>
            </w:r>
            <w:r>
              <w:rPr>
                <w:rFonts w:cstheme="minorHAnsi"/>
                <w:sz w:val="20"/>
                <w:szCs w:val="20"/>
              </w:rPr>
              <w:t>, come elemento qualitativo dell’offerta</w:t>
            </w:r>
            <w:r w:rsidRPr="00E02216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2A47615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cstheme="minorHAnsi"/>
                <w:sz w:val="20"/>
                <w:szCs w:val="20"/>
              </w:rPr>
              <w:t xml:space="preserve">Previsione di possibili </w:t>
            </w:r>
            <w:r w:rsidRPr="00665B7C">
              <w:rPr>
                <w:rFonts w:cstheme="minorHAnsi"/>
                <w:b/>
                <w:bCs/>
                <w:sz w:val="20"/>
                <w:szCs w:val="20"/>
              </w:rPr>
              <w:t>criteri premiali</w:t>
            </w:r>
            <w:r w:rsidRPr="00E02216">
              <w:rPr>
                <w:rFonts w:cstheme="minorHAnsi"/>
                <w:sz w:val="20"/>
                <w:szCs w:val="20"/>
              </w:rPr>
              <w:t xml:space="preserve"> per favorire la partecipazione delle 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 xml:space="preserve">Piccole Medie Imprese </w:t>
            </w:r>
            <w:r w:rsidRPr="00E02216">
              <w:rPr>
                <w:rFonts w:cstheme="minorHAnsi"/>
                <w:sz w:val="20"/>
                <w:szCs w:val="20"/>
              </w:rPr>
              <w:t xml:space="preserve">e per promuovere l’affidamento a operatori economici con 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 xml:space="preserve">sede operativa </w:t>
            </w:r>
            <w:r w:rsidRPr="00E02216">
              <w:rPr>
                <w:rFonts w:cstheme="minorHAnsi"/>
                <w:sz w:val="20"/>
                <w:szCs w:val="20"/>
              </w:rPr>
              <w:t>nel territorio di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02216">
              <w:rPr>
                <w:rFonts w:cstheme="minorHAnsi"/>
                <w:sz w:val="20"/>
                <w:szCs w:val="20"/>
              </w:rPr>
              <w:t>riferimento (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principio di prossimità per efficiente gestione</w:t>
            </w:r>
            <w:r w:rsidRPr="00E02216">
              <w:rPr>
                <w:rFonts w:cstheme="minorHAnsi"/>
                <w:sz w:val="20"/>
                <w:szCs w:val="20"/>
              </w:rPr>
              <w:t>);</w:t>
            </w:r>
          </w:p>
          <w:p w14:paraId="7A52BA2C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02216">
              <w:rPr>
                <w:rFonts w:cstheme="minorHAnsi"/>
                <w:sz w:val="20"/>
                <w:szCs w:val="20"/>
              </w:rPr>
              <w:t xml:space="preserve">Possibilità per le Stazioni Appaltanti di non procedere all’aggiudicazione se nessuna offerta risulta conveniente o idonea in relazione all’oggetto del contratto, purché ciò sia previsto nella </w:t>
            </w:r>
            <w:r w:rsidRPr="00E02216">
              <w:rPr>
                <w:rFonts w:cstheme="minorHAnsi"/>
                <w:i/>
                <w:iCs/>
                <w:sz w:val="20"/>
                <w:szCs w:val="20"/>
              </w:rPr>
              <w:t xml:space="preserve">lex specialis </w:t>
            </w:r>
            <w:r w:rsidRPr="00E02216">
              <w:rPr>
                <w:rFonts w:cstheme="minorHAnsi"/>
                <w:sz w:val="20"/>
                <w:szCs w:val="20"/>
              </w:rPr>
              <w:t xml:space="preserve">di gara. Tale facoltà può essere esercitata </w:t>
            </w:r>
            <w:r w:rsidRPr="00E02216">
              <w:rPr>
                <w:rFonts w:cstheme="minorHAnsi"/>
                <w:b/>
                <w:bCs/>
                <w:sz w:val="20"/>
                <w:szCs w:val="20"/>
              </w:rPr>
              <w:t>non oltre il termine di trenta giorni dalla conclusione delle valutazioni delle offerte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2BD332E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>Art. 108 del D.Lgs. n. 36/2023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31530E" w:rsidRPr="00F275AA" w14:paraId="186D174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2C437BE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Commissione Giudicatrice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9B234F" w14:textId="77777777" w:rsidR="0031530E" w:rsidRPr="006E65FC" w:rsidRDefault="0031530E" w:rsidP="00834A5D">
            <w:pPr>
              <w:spacing w:before="60" w:after="60"/>
              <w:ind w:left="145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Per gli affidamenti </w:t>
            </w:r>
            <w:r w:rsidRPr="006E65FC">
              <w:rPr>
                <w:b/>
                <w:bCs/>
                <w:sz w:val="20"/>
                <w:szCs w:val="20"/>
              </w:rPr>
              <w:t>sotto-soglia</w:t>
            </w:r>
            <w:r w:rsidRPr="006E65FC">
              <w:rPr>
                <w:sz w:val="20"/>
                <w:szCs w:val="20"/>
              </w:rPr>
              <w:t xml:space="preserve"> (art. 51 del D.Lgs. n. 36/2023): </w:t>
            </w:r>
          </w:p>
          <w:p w14:paraId="36A6326A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i</w:t>
            </w:r>
            <w:r w:rsidRPr="00DF3E27">
              <w:rPr>
                <w:sz w:val="20"/>
                <w:szCs w:val="20"/>
              </w:rPr>
              <w:t>n caso di aggiudicazione con il criterio dell</w:t>
            </w:r>
            <w:r>
              <w:rPr>
                <w:sz w:val="20"/>
                <w:szCs w:val="20"/>
              </w:rPr>
              <w:t>’</w:t>
            </w:r>
            <w:r w:rsidRPr="00DF3E27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fferta Economicamente più Vantaggiosa, individuata mediante il miglior rapporto qualità prezzo</w:t>
            </w:r>
            <w:r w:rsidRPr="00DF3E27">
              <w:rPr>
                <w:sz w:val="20"/>
                <w:szCs w:val="20"/>
              </w:rPr>
              <w:t>, alla commissione giudicatrice può partecipare il RUP, anche in qualità di presidente.</w:t>
            </w:r>
          </w:p>
          <w:p w14:paraId="20E8E680" w14:textId="77777777" w:rsidR="0031530E" w:rsidRPr="006E65FC" w:rsidRDefault="0031530E" w:rsidP="00834A5D">
            <w:pPr>
              <w:spacing w:before="60" w:after="60"/>
              <w:ind w:left="145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Per le procedure </w:t>
            </w:r>
            <w:r w:rsidRPr="006E65FC">
              <w:rPr>
                <w:b/>
                <w:bCs/>
                <w:sz w:val="20"/>
                <w:szCs w:val="20"/>
              </w:rPr>
              <w:t>sopra-soglia</w:t>
            </w:r>
            <w:r w:rsidRPr="006E65FC">
              <w:rPr>
                <w:sz w:val="20"/>
                <w:szCs w:val="20"/>
              </w:rPr>
              <w:t xml:space="preserve"> (art. 93 D.Lgs. n. 36/2023): </w:t>
            </w:r>
          </w:p>
          <w:p w14:paraId="21DF75BF" w14:textId="77777777" w:rsidR="0031530E" w:rsidRPr="00DF3E27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DF3E27">
              <w:rPr>
                <w:sz w:val="20"/>
                <w:szCs w:val="20"/>
              </w:rPr>
              <w:t>possibilità per il RUP, in termini generali, di far parte della commissione;</w:t>
            </w:r>
          </w:p>
          <w:p w14:paraId="14B4F189" w14:textId="77777777" w:rsidR="0031530E" w:rsidRPr="00E0221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DF3E27">
              <w:rPr>
                <w:sz w:val="20"/>
                <w:szCs w:val="20"/>
              </w:rPr>
              <w:t>eliminazione del sistema di individuazione dei membri della commissione mediante consultazione degli albi istituiti presso l</w:t>
            </w:r>
            <w:r>
              <w:rPr>
                <w:sz w:val="20"/>
                <w:szCs w:val="20"/>
              </w:rPr>
              <w:t>’</w:t>
            </w:r>
            <w:r w:rsidRPr="00DF3E27">
              <w:rPr>
                <w:sz w:val="20"/>
                <w:szCs w:val="20"/>
              </w:rPr>
              <w:t>ANAC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CA2E3BE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 xml:space="preserve">Art. 51 del D.Lgs. n. 36/2023; </w:t>
            </w:r>
          </w:p>
          <w:p w14:paraId="1007DB19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93 del D.Lgs. n. 36/2023.</w:t>
            </w:r>
          </w:p>
        </w:tc>
      </w:tr>
      <w:tr w:rsidR="0031530E" w:rsidRPr="00B04E76" w14:paraId="06A7A15F" w14:textId="77777777" w:rsidTr="00834A5D">
        <w:trPr>
          <w:trHeight w:val="23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C23371E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Anomalia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6E65FC">
              <w:rPr>
                <w:b/>
                <w:bCs/>
                <w:sz w:val="20"/>
                <w:szCs w:val="20"/>
              </w:rPr>
              <w:t>Offerta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E064D71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Eliminazione delle</w:t>
            </w:r>
            <w:r w:rsidRPr="00DF3E27">
              <w:rPr>
                <w:b/>
                <w:bCs/>
                <w:sz w:val="20"/>
                <w:szCs w:val="20"/>
              </w:rPr>
              <w:t xml:space="preserve"> soglie fissate </w:t>
            </w:r>
            <w:r w:rsidRPr="00DF3E27">
              <w:rPr>
                <w:b/>
                <w:bCs/>
                <w:i/>
                <w:iCs/>
                <w:sz w:val="20"/>
                <w:szCs w:val="20"/>
              </w:rPr>
              <w:t xml:space="preserve">ex lege </w:t>
            </w:r>
            <w:r w:rsidRPr="00DF3E27">
              <w:rPr>
                <w:sz w:val="20"/>
                <w:szCs w:val="20"/>
              </w:rPr>
              <w:t xml:space="preserve">per </w:t>
            </w:r>
            <w:r>
              <w:rPr>
                <w:sz w:val="20"/>
                <w:szCs w:val="20"/>
              </w:rPr>
              <w:t>l’</w:t>
            </w:r>
            <w:r w:rsidRPr="00DF3E27">
              <w:rPr>
                <w:sz w:val="20"/>
                <w:szCs w:val="20"/>
              </w:rPr>
              <w:t>individuazione delle offerte anormalmente basse (i.e., criterio dei 4/5 nell</w:t>
            </w:r>
            <w:r>
              <w:rPr>
                <w:sz w:val="20"/>
                <w:szCs w:val="20"/>
              </w:rPr>
              <w:t>’o</w:t>
            </w:r>
            <w:r w:rsidRPr="006E65FC">
              <w:rPr>
                <w:sz w:val="20"/>
                <w:szCs w:val="20"/>
              </w:rPr>
              <w:t xml:space="preserve">fferta </w:t>
            </w:r>
            <w:r>
              <w:rPr>
                <w:sz w:val="20"/>
                <w:szCs w:val="20"/>
              </w:rPr>
              <w:t>e</w:t>
            </w:r>
            <w:r w:rsidRPr="006E65FC">
              <w:rPr>
                <w:sz w:val="20"/>
                <w:szCs w:val="20"/>
              </w:rPr>
              <w:t xml:space="preserve">conomicamente </w:t>
            </w:r>
            <w:r>
              <w:rPr>
                <w:sz w:val="20"/>
                <w:szCs w:val="20"/>
              </w:rPr>
              <w:t>p</w:t>
            </w:r>
            <w:r w:rsidRPr="006E65FC">
              <w:rPr>
                <w:sz w:val="20"/>
                <w:szCs w:val="20"/>
              </w:rPr>
              <w:t xml:space="preserve">iù </w:t>
            </w:r>
            <w:r>
              <w:rPr>
                <w:sz w:val="20"/>
                <w:szCs w:val="20"/>
              </w:rPr>
              <w:t>v</w:t>
            </w:r>
            <w:r w:rsidRPr="006E65FC">
              <w:rPr>
                <w:sz w:val="20"/>
                <w:szCs w:val="20"/>
              </w:rPr>
              <w:t>antaggiosa</w:t>
            </w:r>
            <w:r w:rsidRPr="00DF3E2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</w:p>
          <w:p w14:paraId="32D5D632" w14:textId="77777777" w:rsidR="0031530E" w:rsidRPr="00DF3E27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Possibilità per la Stazione Appaltante di definire il </w:t>
            </w:r>
            <w:r w:rsidRPr="006E65FC">
              <w:rPr>
                <w:sz w:val="20"/>
                <w:szCs w:val="20"/>
              </w:rPr>
              <w:t>c</w:t>
            </w:r>
            <w:r w:rsidRPr="00DF3E27">
              <w:rPr>
                <w:sz w:val="20"/>
                <w:szCs w:val="20"/>
              </w:rPr>
              <w:t xml:space="preserve">riterio </w:t>
            </w:r>
            <w:r w:rsidRPr="006E65FC">
              <w:rPr>
                <w:sz w:val="20"/>
                <w:szCs w:val="20"/>
              </w:rPr>
              <w:t>utilizzato 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interno della </w:t>
            </w:r>
            <w:r w:rsidRPr="00DF3E27">
              <w:rPr>
                <w:i/>
                <w:iCs/>
                <w:sz w:val="20"/>
                <w:szCs w:val="20"/>
              </w:rPr>
              <w:t>lex specialis</w:t>
            </w:r>
            <w:r w:rsidRPr="00DF3E27">
              <w:rPr>
                <w:sz w:val="20"/>
                <w:szCs w:val="20"/>
              </w:rPr>
              <w:t xml:space="preserve"> </w:t>
            </w:r>
            <w:r w:rsidRPr="006E65FC">
              <w:rPr>
                <w:sz w:val="20"/>
                <w:szCs w:val="20"/>
              </w:rPr>
              <w:t>di gara</w:t>
            </w:r>
            <w:r w:rsidRPr="00DF3E27">
              <w:rPr>
                <w:sz w:val="20"/>
                <w:szCs w:val="20"/>
              </w:rPr>
              <w:t>;</w:t>
            </w:r>
          </w:p>
          <w:p w14:paraId="50871674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Previsione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DF3E27">
              <w:rPr>
                <w:b/>
                <w:bCs/>
                <w:sz w:val="20"/>
                <w:szCs w:val="20"/>
              </w:rPr>
              <w:t>esclusione automatica</w:t>
            </w:r>
            <w:r w:rsidRPr="00DF3E27">
              <w:rPr>
                <w:sz w:val="20"/>
                <w:szCs w:val="20"/>
              </w:rPr>
              <w:t xml:space="preserve"> delle offerte anomale nelle procedure</w:t>
            </w:r>
            <w:r w:rsidRPr="006E65FC">
              <w:rPr>
                <w:sz w:val="20"/>
                <w:szCs w:val="20"/>
              </w:rPr>
              <w:t xml:space="preserve"> </w:t>
            </w:r>
            <w:r w:rsidRPr="00DF3E27">
              <w:rPr>
                <w:sz w:val="20"/>
                <w:szCs w:val="20"/>
              </w:rPr>
              <w:t xml:space="preserve">negoziate </w:t>
            </w:r>
            <w:r w:rsidRPr="00DF3E27">
              <w:rPr>
                <w:b/>
                <w:bCs/>
                <w:sz w:val="20"/>
                <w:szCs w:val="20"/>
              </w:rPr>
              <w:t>sotto</w:t>
            </w:r>
            <w:r w:rsidRPr="006E65FC">
              <w:rPr>
                <w:b/>
                <w:bCs/>
                <w:sz w:val="20"/>
                <w:szCs w:val="20"/>
              </w:rPr>
              <w:t>-</w:t>
            </w:r>
            <w:r w:rsidRPr="00DF3E27">
              <w:rPr>
                <w:b/>
                <w:bCs/>
                <w:sz w:val="20"/>
                <w:szCs w:val="20"/>
              </w:rPr>
              <w:t xml:space="preserve">soglia </w:t>
            </w:r>
            <w:r w:rsidRPr="005058F5">
              <w:rPr>
                <w:sz w:val="20"/>
                <w:szCs w:val="20"/>
              </w:rPr>
              <w:t>per lavori e servizi,</w:t>
            </w:r>
            <w:r w:rsidRPr="00DF3E27">
              <w:rPr>
                <w:b/>
                <w:bCs/>
                <w:sz w:val="20"/>
                <w:szCs w:val="20"/>
              </w:rPr>
              <w:t xml:space="preserve"> </w:t>
            </w:r>
            <w:r w:rsidRPr="005B5931">
              <w:rPr>
                <w:sz w:val="20"/>
                <w:szCs w:val="20"/>
              </w:rPr>
              <w:t>che non presentano un interesse transfrontaliero certo</w:t>
            </w:r>
            <w:r>
              <w:rPr>
                <w:sz w:val="20"/>
                <w:szCs w:val="20"/>
              </w:rPr>
              <w:t>,</w:t>
            </w:r>
            <w:r w:rsidRPr="00DF3E27">
              <w:rPr>
                <w:sz w:val="20"/>
                <w:szCs w:val="20"/>
              </w:rPr>
              <w:t xml:space="preserve"> aggiudicat</w:t>
            </w:r>
            <w:r>
              <w:rPr>
                <w:sz w:val="20"/>
                <w:szCs w:val="20"/>
              </w:rPr>
              <w:t xml:space="preserve">e </w:t>
            </w:r>
            <w:r w:rsidRPr="00DF3E27">
              <w:rPr>
                <w:sz w:val="20"/>
                <w:szCs w:val="20"/>
              </w:rPr>
              <w:t xml:space="preserve">al </w:t>
            </w:r>
            <w:r w:rsidRPr="00DF3E27">
              <w:rPr>
                <w:b/>
                <w:bCs/>
                <w:sz w:val="20"/>
                <w:szCs w:val="20"/>
              </w:rPr>
              <w:t>prezzo più basso</w:t>
            </w:r>
            <w:r w:rsidRPr="00DF3E27">
              <w:rPr>
                <w:sz w:val="20"/>
                <w:szCs w:val="20"/>
              </w:rPr>
              <w:t>, se</w:t>
            </w:r>
            <w:r w:rsidRPr="006E65FC">
              <w:rPr>
                <w:sz w:val="20"/>
                <w:szCs w:val="20"/>
              </w:rPr>
              <w:t xml:space="preserve"> il</w:t>
            </w:r>
            <w:r w:rsidRPr="00DF3E27">
              <w:rPr>
                <w:sz w:val="20"/>
                <w:szCs w:val="20"/>
              </w:rPr>
              <w:t xml:space="preserve"> numero di offerte è pari o superiore </w:t>
            </w:r>
            <w:r>
              <w:rPr>
                <w:sz w:val="20"/>
                <w:szCs w:val="20"/>
              </w:rPr>
              <w:t xml:space="preserve">a cinque </w:t>
            </w:r>
            <w:r w:rsidRPr="005058F5">
              <w:rPr>
                <w:sz w:val="20"/>
                <w:szCs w:val="20"/>
              </w:rPr>
              <w:t>(Allegato II.2)</w:t>
            </w:r>
            <w:r>
              <w:rPr>
                <w:sz w:val="20"/>
                <w:szCs w:val="20"/>
              </w:rPr>
              <w:t>.</w:t>
            </w:r>
            <w:r w:rsidRPr="005B5931">
              <w:rPr>
                <w:sz w:val="20"/>
                <w:szCs w:val="20"/>
              </w:rPr>
              <w:t xml:space="preserve"> Tale previsione non si applica </w:t>
            </w:r>
            <w:r>
              <w:rPr>
                <w:sz w:val="20"/>
                <w:szCs w:val="20"/>
              </w:rPr>
              <w:t>a</w:t>
            </w:r>
            <w:r w:rsidRPr="005B5931">
              <w:rPr>
                <w:sz w:val="20"/>
                <w:szCs w:val="20"/>
              </w:rPr>
              <w:t>gli affidamenti diretti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9753542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54 del D.Lgs. n. 36/2023;</w:t>
            </w:r>
          </w:p>
          <w:p w14:paraId="50890C01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108 del D.Lgs. n. 36/2023;</w:t>
            </w:r>
          </w:p>
          <w:p w14:paraId="349E52D6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110 del D.Lgs. n. 36/2023;</w:t>
            </w:r>
          </w:p>
          <w:p w14:paraId="38DCB8BB" w14:textId="77777777" w:rsidR="0031530E" w:rsidRPr="00B04E76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Allegato II.2 al D.Lgs. n. 36/2023.</w:t>
            </w:r>
          </w:p>
        </w:tc>
      </w:tr>
      <w:tr w:rsidR="0031530E" w:rsidRPr="00F275AA" w14:paraId="5A2B1813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7E67F45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Subappalto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0AD5808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Conferma del</w:t>
            </w:r>
            <w:r w:rsidRPr="00CC051E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 w:rsidRPr="00CC051E">
              <w:rPr>
                <w:b/>
                <w:bCs/>
                <w:sz w:val="20"/>
                <w:szCs w:val="20"/>
              </w:rPr>
              <w:t>assenza di limiti quantitativi</w:t>
            </w:r>
            <w:r w:rsidRPr="00CC051E">
              <w:rPr>
                <w:sz w:val="20"/>
                <w:szCs w:val="20"/>
              </w:rPr>
              <w:t xml:space="preserve"> al subappalto</w:t>
            </w:r>
            <w:r>
              <w:rPr>
                <w:sz w:val="20"/>
                <w:szCs w:val="20"/>
              </w:rPr>
              <w:t xml:space="preserve">, fermo restando il divieto di affidare a terzi: </w:t>
            </w:r>
          </w:p>
          <w:p w14:paraId="6516D5D7" w14:textId="77777777" w:rsidR="0031530E" w:rsidRPr="009C4E4A" w:rsidRDefault="0031530E" w:rsidP="00834A5D">
            <w:pPr>
              <w:pStyle w:val="Paragrafoelenco"/>
              <w:numPr>
                <w:ilvl w:val="0"/>
                <w:numId w:val="12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9C4E4A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 w:rsidRPr="009C4E4A">
              <w:rPr>
                <w:sz w:val="20"/>
                <w:szCs w:val="20"/>
              </w:rPr>
              <w:t xml:space="preserve">integrale esecuzione delle prestazioni o lavorazioni appaltate; </w:t>
            </w:r>
          </w:p>
          <w:p w14:paraId="38167604" w14:textId="77777777" w:rsidR="0031530E" w:rsidRPr="009C4E4A" w:rsidRDefault="0031530E" w:rsidP="00834A5D">
            <w:pPr>
              <w:pStyle w:val="Paragrafoelenco"/>
              <w:numPr>
                <w:ilvl w:val="0"/>
                <w:numId w:val="12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9C4E4A">
              <w:rPr>
                <w:sz w:val="20"/>
                <w:szCs w:val="20"/>
              </w:rPr>
              <w:t>la prevalente esecuzione delle lavorazioni relative alla categoria prevalente e dei contratti ad alta intensità di manodopera;</w:t>
            </w:r>
          </w:p>
          <w:p w14:paraId="50BA5A48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della possibilità per la Stazione Appaltante di indicare nella</w:t>
            </w:r>
            <w:r w:rsidRPr="00CC051E">
              <w:rPr>
                <w:sz w:val="20"/>
                <w:szCs w:val="20"/>
              </w:rPr>
              <w:t xml:space="preserve"> </w:t>
            </w:r>
            <w:r w:rsidRPr="00CC051E">
              <w:rPr>
                <w:i/>
                <w:iCs/>
                <w:sz w:val="20"/>
                <w:szCs w:val="20"/>
              </w:rPr>
              <w:t>lex specialis</w:t>
            </w:r>
            <w:r w:rsidRPr="006E65FC">
              <w:rPr>
                <w:i/>
                <w:iCs/>
                <w:sz w:val="20"/>
                <w:szCs w:val="20"/>
              </w:rPr>
              <w:t xml:space="preserve"> </w:t>
            </w:r>
            <w:r w:rsidRPr="006E65FC">
              <w:rPr>
                <w:sz w:val="20"/>
                <w:szCs w:val="20"/>
              </w:rPr>
              <w:t xml:space="preserve">di gara </w:t>
            </w:r>
            <w:r w:rsidRPr="00DA621A">
              <w:rPr>
                <w:b/>
                <w:bCs/>
                <w:sz w:val="20"/>
                <w:szCs w:val="20"/>
              </w:rPr>
              <w:t>le prestazioni da eseguire obbligatoriamente a cura dell’aggiudicatario</w:t>
            </w:r>
            <w:r w:rsidRPr="00CC051E">
              <w:rPr>
                <w:sz w:val="20"/>
                <w:szCs w:val="20"/>
              </w:rPr>
              <w:t xml:space="preserve"> in ragione:</w:t>
            </w:r>
          </w:p>
          <w:p w14:paraId="18266C67" w14:textId="77777777" w:rsidR="0031530E" w:rsidRDefault="0031530E" w:rsidP="00834A5D">
            <w:pPr>
              <w:pStyle w:val="Paragrafoelenco"/>
              <w:numPr>
                <w:ilvl w:val="0"/>
                <w:numId w:val="1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delle </w:t>
            </w:r>
            <w:r w:rsidRPr="00CC051E">
              <w:rPr>
                <w:sz w:val="20"/>
                <w:szCs w:val="20"/>
              </w:rPr>
              <w:t>specifiche caratteristiche dell</w:t>
            </w:r>
            <w:r>
              <w:rPr>
                <w:sz w:val="20"/>
                <w:szCs w:val="20"/>
              </w:rPr>
              <w:t>’</w:t>
            </w:r>
            <w:r w:rsidRPr="00CC051E">
              <w:rPr>
                <w:sz w:val="20"/>
                <w:szCs w:val="20"/>
              </w:rPr>
              <w:t xml:space="preserve">appalto; </w:t>
            </w:r>
          </w:p>
          <w:p w14:paraId="151962A5" w14:textId="77777777" w:rsidR="0031530E" w:rsidRDefault="0031530E" w:rsidP="00834A5D">
            <w:pPr>
              <w:pStyle w:val="Paragrafoelenco"/>
              <w:numPr>
                <w:ilvl w:val="0"/>
                <w:numId w:val="1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dell’</w:t>
            </w:r>
            <w:r w:rsidRPr="00CC051E">
              <w:rPr>
                <w:sz w:val="20"/>
                <w:szCs w:val="20"/>
              </w:rPr>
              <w:t xml:space="preserve">esigenza di rafforzare, tenuto conto della natura o della complessità delle prestazioni o delle lavorazioni da effettuare, il controllo delle attività di cantiere e più in generale dei luoghi di lavoro; </w:t>
            </w:r>
          </w:p>
          <w:p w14:paraId="09EA0267" w14:textId="77777777" w:rsidR="0031530E" w:rsidRDefault="0031530E" w:rsidP="00834A5D">
            <w:pPr>
              <w:pStyle w:val="Paragrafoelenco"/>
              <w:numPr>
                <w:ilvl w:val="0"/>
                <w:numId w:val="1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dell’esigenza di </w:t>
            </w:r>
            <w:r w:rsidRPr="00CC051E">
              <w:rPr>
                <w:sz w:val="20"/>
                <w:szCs w:val="20"/>
              </w:rPr>
              <w:t xml:space="preserve">garantire una più intensa tutela delle condizioni di lavoro e della salute e sicurezza dei lavoratori; </w:t>
            </w:r>
          </w:p>
          <w:p w14:paraId="716ACE34" w14:textId="77777777" w:rsidR="0031530E" w:rsidRPr="00CC051E" w:rsidRDefault="0031530E" w:rsidP="00834A5D">
            <w:pPr>
              <w:pStyle w:val="Paragrafoelenco"/>
              <w:numPr>
                <w:ilvl w:val="0"/>
                <w:numId w:val="1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dell’esigenza di </w:t>
            </w:r>
            <w:r w:rsidRPr="00CC051E">
              <w:rPr>
                <w:sz w:val="20"/>
                <w:szCs w:val="20"/>
              </w:rPr>
              <w:t>prevenire il rischio di infiltrazioni criminali;</w:t>
            </w:r>
          </w:p>
          <w:p w14:paraId="2975A836" w14:textId="77777777" w:rsidR="0031530E" w:rsidRPr="000C16E3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del </w:t>
            </w:r>
            <w:r w:rsidRPr="000C16E3">
              <w:rPr>
                <w:sz w:val="20"/>
                <w:szCs w:val="20"/>
              </w:rPr>
              <w:t>subappalto c.d. a cascata</w:t>
            </w:r>
            <w:r>
              <w:rPr>
                <w:sz w:val="20"/>
                <w:szCs w:val="20"/>
              </w:rPr>
              <w:t>;</w:t>
            </w:r>
          </w:p>
          <w:p w14:paraId="21C2FB42" w14:textId="77777777" w:rsidR="0031530E" w:rsidRPr="000C16E3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della possibilità per l</w:t>
            </w:r>
            <w:r w:rsidRPr="000C16E3">
              <w:rPr>
                <w:sz w:val="20"/>
                <w:szCs w:val="20"/>
              </w:rPr>
              <w:t>a Stazione Appaltante di prevedere all</w:t>
            </w:r>
            <w:r>
              <w:rPr>
                <w:sz w:val="20"/>
                <w:szCs w:val="20"/>
              </w:rPr>
              <w:t>’</w:t>
            </w:r>
            <w:r w:rsidRPr="000C16E3">
              <w:rPr>
                <w:sz w:val="20"/>
                <w:szCs w:val="20"/>
              </w:rPr>
              <w:t xml:space="preserve">interno della </w:t>
            </w:r>
            <w:r w:rsidRPr="000C16E3">
              <w:rPr>
                <w:i/>
                <w:iCs/>
                <w:sz w:val="20"/>
                <w:szCs w:val="20"/>
              </w:rPr>
              <w:t>lex specialis</w:t>
            </w:r>
            <w:r w:rsidRPr="000C16E3">
              <w:rPr>
                <w:sz w:val="20"/>
                <w:szCs w:val="20"/>
              </w:rPr>
              <w:t xml:space="preserve"> di gara </w:t>
            </w:r>
            <w:r w:rsidRPr="007432D1">
              <w:rPr>
                <w:b/>
                <w:bCs/>
                <w:sz w:val="20"/>
                <w:szCs w:val="20"/>
              </w:rPr>
              <w:t>limitazioni al subappalto</w:t>
            </w:r>
            <w:r w:rsidRPr="000C16E3">
              <w:rPr>
                <w:sz w:val="20"/>
                <w:szCs w:val="20"/>
              </w:rPr>
              <w:t xml:space="preserve"> per specifiche caratteristiche dell</w:t>
            </w:r>
            <w:r>
              <w:rPr>
                <w:sz w:val="20"/>
                <w:szCs w:val="20"/>
              </w:rPr>
              <w:t>’</w:t>
            </w:r>
            <w:r w:rsidRPr="000C16E3">
              <w:rPr>
                <w:sz w:val="20"/>
                <w:szCs w:val="20"/>
              </w:rPr>
              <w:t>appalto e per l</w:t>
            </w:r>
            <w:r>
              <w:rPr>
                <w:sz w:val="20"/>
                <w:szCs w:val="20"/>
              </w:rPr>
              <w:t>’</w:t>
            </w:r>
            <w:r w:rsidRPr="000C16E3">
              <w:rPr>
                <w:sz w:val="20"/>
                <w:szCs w:val="20"/>
              </w:rPr>
              <w:t>esigenza, tenuto conto della natura o della complessità delle prestazioni o delle lavorazioni da effettuare, di:</w:t>
            </w:r>
          </w:p>
          <w:p w14:paraId="502DCC12" w14:textId="77777777" w:rsidR="0031530E" w:rsidRPr="006E65FC" w:rsidRDefault="0031530E" w:rsidP="00834A5D">
            <w:pPr>
              <w:pStyle w:val="Paragrafoelenco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sz w:val="20"/>
                <w:szCs w:val="20"/>
              </w:rPr>
            </w:pPr>
            <w:r w:rsidRPr="00CC051E">
              <w:rPr>
                <w:sz w:val="20"/>
                <w:szCs w:val="20"/>
              </w:rPr>
              <w:t>rafforzare il controllo delle attività di cantiere e più in generale dei luoghi di lavoro;</w:t>
            </w:r>
          </w:p>
          <w:p w14:paraId="07FAB81E" w14:textId="77777777" w:rsidR="0031530E" w:rsidRDefault="0031530E" w:rsidP="00834A5D">
            <w:pPr>
              <w:pStyle w:val="Paragrafoelenco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garantire una più intensa tutela delle condizioni di lavoro e della salute e sicurezza dei lavoratori;</w:t>
            </w:r>
          </w:p>
          <w:p w14:paraId="387607C1" w14:textId="77777777" w:rsidR="0031530E" w:rsidRPr="00796FE2" w:rsidRDefault="0031530E" w:rsidP="00834A5D">
            <w:pPr>
              <w:pStyle w:val="Paragrafoelenco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sz w:val="20"/>
                <w:szCs w:val="20"/>
              </w:rPr>
            </w:pPr>
            <w:r w:rsidRPr="00796FE2">
              <w:rPr>
                <w:sz w:val="20"/>
                <w:szCs w:val="20"/>
              </w:rPr>
              <w:t>prevenire il rischio di infiltrazioni criminali.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143B13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>Art. 119 del D.Lgs. n. 36/2023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31530E" w:rsidRPr="00F275AA" w14:paraId="7DE18111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2477861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Avvalimento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AE1F528" w14:textId="77777777" w:rsidR="0031530E" w:rsidRPr="00CC051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CC051E">
              <w:rPr>
                <w:sz w:val="20"/>
                <w:szCs w:val="20"/>
              </w:rPr>
              <w:t xml:space="preserve">Il perimetro </w:t>
            </w:r>
            <w:r>
              <w:rPr>
                <w:sz w:val="20"/>
                <w:szCs w:val="20"/>
              </w:rPr>
              <w:t xml:space="preserve">dell’avvalimento </w:t>
            </w:r>
            <w:r w:rsidRPr="00CC051E">
              <w:rPr>
                <w:sz w:val="20"/>
                <w:szCs w:val="20"/>
              </w:rPr>
              <w:t>è riferito a dotazioni tecniche, risorse umane e strumentali;</w:t>
            </w:r>
          </w:p>
          <w:p w14:paraId="5986EA27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Previsione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CC051E">
              <w:rPr>
                <w:b/>
                <w:bCs/>
                <w:sz w:val="20"/>
                <w:szCs w:val="20"/>
              </w:rPr>
              <w:t xml:space="preserve">onerosità </w:t>
            </w:r>
            <w:r w:rsidRPr="00CC051E">
              <w:rPr>
                <w:sz w:val="20"/>
                <w:szCs w:val="20"/>
              </w:rPr>
              <w:t>del contratto</w:t>
            </w:r>
            <w:r>
              <w:rPr>
                <w:sz w:val="20"/>
                <w:szCs w:val="20"/>
              </w:rPr>
              <w:t xml:space="preserve">; </w:t>
            </w:r>
          </w:p>
          <w:p w14:paraId="27D1C637" w14:textId="77777777" w:rsidR="0031530E" w:rsidRPr="00CC051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F25552">
              <w:rPr>
                <w:sz w:val="20"/>
                <w:szCs w:val="20"/>
              </w:rPr>
              <w:t>Previsione della possibilità che il contratto di avvalimento sia</w:t>
            </w:r>
            <w:r>
              <w:rPr>
                <w:b/>
                <w:bCs/>
                <w:sz w:val="20"/>
                <w:szCs w:val="20"/>
              </w:rPr>
              <w:t xml:space="preserve"> a titolo gratuito </w:t>
            </w:r>
            <w:r w:rsidRPr="00F25552">
              <w:rPr>
                <w:sz w:val="20"/>
                <w:szCs w:val="20"/>
              </w:rPr>
              <w:t>nel solo caso in cui risponda a un interesse dell’ausiliaria</w:t>
            </w:r>
            <w:r w:rsidRPr="00CC051E">
              <w:rPr>
                <w:sz w:val="20"/>
                <w:szCs w:val="20"/>
              </w:rPr>
              <w:t>;</w:t>
            </w:r>
          </w:p>
          <w:p w14:paraId="35AE02F9" w14:textId="77777777" w:rsidR="0031530E" w:rsidRPr="00CC051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E65FC">
              <w:rPr>
                <w:sz w:val="20"/>
                <w:szCs w:val="20"/>
              </w:rPr>
              <w:t xml:space="preserve">ossibilità di avvalersi del c.d. </w:t>
            </w:r>
            <w:r w:rsidRPr="00CC051E">
              <w:rPr>
                <w:sz w:val="20"/>
                <w:szCs w:val="20"/>
              </w:rPr>
              <w:t xml:space="preserve">avvalimento </w:t>
            </w:r>
            <w:r w:rsidRPr="00CC051E">
              <w:rPr>
                <w:b/>
                <w:bCs/>
                <w:sz w:val="20"/>
                <w:szCs w:val="20"/>
              </w:rPr>
              <w:t>premiale</w:t>
            </w:r>
            <w:r w:rsidRPr="000C16E3">
              <w:rPr>
                <w:sz w:val="20"/>
                <w:szCs w:val="20"/>
              </w:rPr>
              <w:t>;</w:t>
            </w:r>
          </w:p>
          <w:p w14:paraId="6FB4DFDF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0C16E3">
              <w:rPr>
                <w:sz w:val="20"/>
                <w:szCs w:val="20"/>
              </w:rPr>
              <w:t>Previsione del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C051E">
              <w:rPr>
                <w:b/>
                <w:bCs/>
                <w:sz w:val="20"/>
                <w:szCs w:val="20"/>
              </w:rPr>
              <w:t>divieto di partecipazione</w:t>
            </w:r>
            <w:r>
              <w:rPr>
                <w:b/>
                <w:bCs/>
                <w:sz w:val="20"/>
                <w:szCs w:val="20"/>
              </w:rPr>
              <w:t xml:space="preserve"> alla gara da parte</w:t>
            </w:r>
            <w:r w:rsidRPr="00CC051E">
              <w:rPr>
                <w:b/>
                <w:bCs/>
                <w:sz w:val="20"/>
                <w:szCs w:val="20"/>
              </w:rPr>
              <w:t xml:space="preserve"> </w:t>
            </w:r>
            <w:r w:rsidRPr="00F25552">
              <w:rPr>
                <w:b/>
                <w:bCs/>
                <w:sz w:val="20"/>
                <w:szCs w:val="20"/>
              </w:rPr>
              <w:t>dell’ausiliaria</w:t>
            </w:r>
            <w:r w:rsidRPr="00CC051E">
              <w:rPr>
                <w:sz w:val="20"/>
                <w:szCs w:val="20"/>
              </w:rPr>
              <w:t xml:space="preserve"> nel solo</w:t>
            </w:r>
            <w:r w:rsidRPr="006E65FC">
              <w:rPr>
                <w:sz w:val="20"/>
                <w:szCs w:val="20"/>
              </w:rPr>
              <w:t xml:space="preserve"> caso di</w:t>
            </w:r>
            <w:r w:rsidRPr="00CC051E">
              <w:rPr>
                <w:sz w:val="20"/>
                <w:szCs w:val="20"/>
              </w:rPr>
              <w:t xml:space="preserve"> avvalimento premiale.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FD70EA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104 del D.Lgs. n. 36/2023.</w:t>
            </w:r>
          </w:p>
        </w:tc>
      </w:tr>
      <w:tr w:rsidR="0031530E" w:rsidRPr="00F275AA" w14:paraId="4CCAD0E9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F2174FE" w14:textId="77777777" w:rsidR="0031530E" w:rsidRPr="00796FE2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Rinegoziazione e revisione dei prezzi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1920C04" w14:textId="77777777" w:rsidR="0031530E" w:rsidRPr="00CC051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CC051E">
              <w:rPr>
                <w:sz w:val="20"/>
                <w:szCs w:val="20"/>
              </w:rPr>
              <w:t>Introduzione d</w:t>
            </w:r>
            <w:r w:rsidRPr="006E65FC">
              <w:rPr>
                <w:sz w:val="20"/>
                <w:szCs w:val="20"/>
              </w:rPr>
              <w:t xml:space="preserve">el </w:t>
            </w:r>
            <w:r w:rsidRPr="00CC051E">
              <w:rPr>
                <w:sz w:val="20"/>
                <w:szCs w:val="20"/>
              </w:rPr>
              <w:t xml:space="preserve">meccanismo di </w:t>
            </w:r>
            <w:r w:rsidRPr="00CC051E">
              <w:rPr>
                <w:b/>
                <w:bCs/>
                <w:sz w:val="20"/>
                <w:szCs w:val="20"/>
              </w:rPr>
              <w:t>conservazione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CC051E">
              <w:rPr>
                <w:b/>
                <w:bCs/>
                <w:sz w:val="20"/>
                <w:szCs w:val="20"/>
              </w:rPr>
              <w:t xml:space="preserve">equilibrio contrattuale mediante rinegoziazione </w:t>
            </w:r>
            <w:r w:rsidRPr="00CC051E">
              <w:rPr>
                <w:sz w:val="20"/>
                <w:szCs w:val="20"/>
              </w:rPr>
              <w:t>secondo buona fede</w:t>
            </w:r>
            <w:r>
              <w:rPr>
                <w:sz w:val="20"/>
                <w:szCs w:val="20"/>
              </w:rPr>
              <w:t xml:space="preserve"> nel caso in cui sopravvengano </w:t>
            </w:r>
            <w:r w:rsidRPr="00CC051E">
              <w:rPr>
                <w:sz w:val="20"/>
                <w:szCs w:val="20"/>
              </w:rPr>
              <w:t>circostanze straordinarie e imprevedibili, estranee alla normale alea, all</w:t>
            </w:r>
            <w:r>
              <w:rPr>
                <w:sz w:val="20"/>
                <w:szCs w:val="20"/>
              </w:rPr>
              <w:t>’</w:t>
            </w:r>
            <w:r w:rsidRPr="00CC051E">
              <w:rPr>
                <w:sz w:val="20"/>
                <w:szCs w:val="20"/>
              </w:rPr>
              <w:t>ordinaria fluttuazione economica e al rischio di mercato e tali da alterare in maniera rilevante l</w:t>
            </w:r>
            <w:r>
              <w:rPr>
                <w:sz w:val="20"/>
                <w:szCs w:val="20"/>
              </w:rPr>
              <w:t>’</w:t>
            </w:r>
            <w:r w:rsidRPr="00CC051E">
              <w:rPr>
                <w:sz w:val="20"/>
                <w:szCs w:val="20"/>
              </w:rPr>
              <w:t>equilibrio originario del contratto;</w:t>
            </w:r>
          </w:p>
          <w:p w14:paraId="6AE3C3D3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Conferma del</w:t>
            </w:r>
            <w:r w:rsidRPr="006E65FC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6E65FC">
              <w:rPr>
                <w:b/>
                <w:bCs/>
                <w:sz w:val="20"/>
                <w:szCs w:val="20"/>
              </w:rPr>
              <w:t xml:space="preserve">obbligo di inserire </w:t>
            </w:r>
            <w:r w:rsidRPr="006E65FC">
              <w:rPr>
                <w:sz w:val="20"/>
                <w:szCs w:val="20"/>
              </w:rPr>
              <w:t>la clausola di revisione dei prezzi nei documenti di gara</w:t>
            </w:r>
            <w:r>
              <w:rPr>
                <w:sz w:val="20"/>
                <w:szCs w:val="20"/>
              </w:rPr>
              <w:t xml:space="preserve"> che si attiva al ricorrere di </w:t>
            </w:r>
            <w:r w:rsidRPr="00CC051E">
              <w:rPr>
                <w:sz w:val="20"/>
                <w:szCs w:val="20"/>
              </w:rPr>
              <w:t xml:space="preserve">particolari condizioni di natura oggettiva, che determinano una </w:t>
            </w:r>
            <w:r w:rsidRPr="000C16E3">
              <w:rPr>
                <w:b/>
                <w:bCs/>
                <w:sz w:val="20"/>
                <w:szCs w:val="20"/>
              </w:rPr>
              <w:t>variazione, in aumento</w:t>
            </w:r>
            <w:r w:rsidRPr="00CC051E">
              <w:rPr>
                <w:sz w:val="20"/>
                <w:szCs w:val="20"/>
              </w:rPr>
              <w:t xml:space="preserve"> o </w:t>
            </w:r>
            <w:r w:rsidRPr="00CC051E">
              <w:rPr>
                <w:b/>
                <w:bCs/>
                <w:sz w:val="20"/>
                <w:szCs w:val="20"/>
              </w:rPr>
              <w:t>in diminuzione, superiore al 5</w:t>
            </w:r>
            <w:r>
              <w:rPr>
                <w:b/>
                <w:bCs/>
                <w:sz w:val="20"/>
                <w:szCs w:val="20"/>
              </w:rPr>
              <w:t>%</w:t>
            </w:r>
            <w:r w:rsidRPr="00CC051E">
              <w:rPr>
                <w:sz w:val="20"/>
                <w:szCs w:val="20"/>
              </w:rPr>
              <w:t xml:space="preserve"> dell</w:t>
            </w:r>
            <w:r>
              <w:rPr>
                <w:sz w:val="20"/>
                <w:szCs w:val="20"/>
              </w:rPr>
              <w:t>’</w:t>
            </w:r>
            <w:r w:rsidRPr="00CC051E">
              <w:rPr>
                <w:sz w:val="20"/>
                <w:szCs w:val="20"/>
              </w:rPr>
              <w:t xml:space="preserve">importo complessivo </w:t>
            </w:r>
            <w:r>
              <w:rPr>
                <w:sz w:val="20"/>
                <w:szCs w:val="20"/>
              </w:rPr>
              <w:t xml:space="preserve">dell’appalto </w:t>
            </w:r>
            <w:r w:rsidRPr="00CC051E">
              <w:rPr>
                <w:sz w:val="20"/>
                <w:szCs w:val="20"/>
              </w:rPr>
              <w:t xml:space="preserve">e operano </w:t>
            </w:r>
            <w:r w:rsidRPr="00CC051E">
              <w:rPr>
                <w:b/>
                <w:bCs/>
                <w:sz w:val="20"/>
                <w:szCs w:val="20"/>
              </w:rPr>
              <w:t>nella misura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CC051E">
              <w:rPr>
                <w:b/>
                <w:bCs/>
                <w:sz w:val="20"/>
                <w:szCs w:val="20"/>
              </w:rPr>
              <w:t>80</w:t>
            </w:r>
            <w:r>
              <w:rPr>
                <w:b/>
                <w:bCs/>
                <w:sz w:val="20"/>
                <w:szCs w:val="20"/>
              </w:rPr>
              <w:t xml:space="preserve">% </w:t>
            </w:r>
            <w:r w:rsidRPr="00CC051E">
              <w:rPr>
                <w:sz w:val="20"/>
                <w:szCs w:val="20"/>
              </w:rPr>
              <w:t>della variazione stessa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EDC75B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 del D.Lgs. n. 36/2023;</w:t>
            </w:r>
          </w:p>
          <w:p w14:paraId="2A9C6491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60 del D.Lgs. n. 36/2023.</w:t>
            </w:r>
          </w:p>
        </w:tc>
      </w:tr>
      <w:tr w:rsidR="0031530E" w:rsidRPr="00796FE2" w14:paraId="129A8C7D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BBD6A5D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Raggruppamenti e consorzi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A644F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0C16E3">
              <w:rPr>
                <w:b/>
                <w:bCs/>
                <w:sz w:val="20"/>
                <w:szCs w:val="20"/>
              </w:rPr>
              <w:t>Eliminazione dei riferimenti all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0C16E3">
              <w:rPr>
                <w:b/>
                <w:bCs/>
                <w:sz w:val="20"/>
                <w:szCs w:val="20"/>
              </w:rPr>
              <w:t>obbligo della mandataria di possedere i requisiti e 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0C16E3">
              <w:rPr>
                <w:b/>
                <w:bCs/>
                <w:sz w:val="20"/>
                <w:szCs w:val="20"/>
              </w:rPr>
              <w:t>esecuzione delle prestazioni in misura maggioritaria</w:t>
            </w:r>
            <w:r w:rsidRPr="006E65FC">
              <w:rPr>
                <w:sz w:val="20"/>
                <w:szCs w:val="20"/>
              </w:rPr>
              <w:t xml:space="preserve"> (recepimento della sentenza della Corte di giustizia Europea C-642/20</w:t>
            </w:r>
            <w:r>
              <w:rPr>
                <w:sz w:val="20"/>
                <w:szCs w:val="20"/>
              </w:rPr>
              <w:t xml:space="preserve">). Resta comunque ferma </w:t>
            </w:r>
            <w:r w:rsidRPr="006E65FC">
              <w:rPr>
                <w:sz w:val="20"/>
                <w:szCs w:val="20"/>
              </w:rPr>
              <w:t>la necessità che 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esecutore </w:t>
            </w:r>
            <w:r w:rsidRPr="006E65FC">
              <w:rPr>
                <w:sz w:val="20"/>
                <w:szCs w:val="20"/>
              </w:rPr>
              <w:lastRenderedPageBreak/>
              <w:t>sia in possesso dei requisiti prescritti per la prestazione che lo stesso si è impegnato a realizzare;</w:t>
            </w:r>
          </w:p>
          <w:p w14:paraId="21B0364F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0C16E3">
              <w:rPr>
                <w:b/>
                <w:bCs/>
                <w:sz w:val="20"/>
                <w:szCs w:val="20"/>
              </w:rPr>
              <w:t>Eliminazione della distinzione tra raggruppamenti verticali e orizzontali</w:t>
            </w:r>
            <w:r w:rsidRPr="006E65FC">
              <w:rPr>
                <w:sz w:val="20"/>
                <w:szCs w:val="20"/>
              </w:rPr>
              <w:t xml:space="preserve">; </w:t>
            </w:r>
          </w:p>
          <w:p w14:paraId="00203D3C" w14:textId="77777777" w:rsidR="0031530E" w:rsidRPr="007432D1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Possibilità per una o </w:t>
            </w:r>
            <w:r w:rsidRPr="000C16E3">
              <w:rPr>
                <w:sz w:val="20"/>
                <w:szCs w:val="20"/>
              </w:rPr>
              <w:t>più imprese raggruppate</w:t>
            </w:r>
            <w:r>
              <w:rPr>
                <w:sz w:val="20"/>
                <w:szCs w:val="20"/>
              </w:rPr>
              <w:t xml:space="preserve"> di recedere dal contratto</w:t>
            </w:r>
            <w:r w:rsidRPr="000C16E3">
              <w:rPr>
                <w:sz w:val="20"/>
                <w:szCs w:val="20"/>
              </w:rPr>
              <w:t xml:space="preserve"> a condizione che le imprese rimanenti </w:t>
            </w:r>
            <w:r>
              <w:rPr>
                <w:sz w:val="20"/>
                <w:szCs w:val="20"/>
              </w:rPr>
              <w:t>siano in possesso dei</w:t>
            </w:r>
            <w:r w:rsidRPr="000C16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0C16E3">
              <w:rPr>
                <w:sz w:val="20"/>
                <w:szCs w:val="20"/>
              </w:rPr>
              <w:t>equisiti di qualificazione adeguati ai lavori o servizi o forniture ancora da eseguire. Il recesso è ammesso anche se il raggruppamento si riduce a un unico soggetto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FD9D3AD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lastRenderedPageBreak/>
              <w:t>Artt. 65-69 del D.Lgs. n. 36/2023.</w:t>
            </w:r>
          </w:p>
        </w:tc>
      </w:tr>
      <w:tr w:rsidR="0031530E" w:rsidRPr="00F275AA" w14:paraId="63E87614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E0C43D8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Cause di esclusione automatica e non automatica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93844B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132C1A">
              <w:rPr>
                <w:b/>
                <w:bCs/>
                <w:sz w:val="20"/>
                <w:szCs w:val="20"/>
              </w:rPr>
              <w:t xml:space="preserve">Suddivisione in più articoli </w:t>
            </w:r>
            <w:r w:rsidRPr="00132C1A">
              <w:rPr>
                <w:sz w:val="20"/>
                <w:szCs w:val="20"/>
              </w:rPr>
              <w:t>per distinguere tra</w:t>
            </w:r>
            <w:r>
              <w:rPr>
                <w:sz w:val="20"/>
                <w:szCs w:val="20"/>
              </w:rPr>
              <w:t xml:space="preserve"> cause di</w:t>
            </w:r>
            <w:r w:rsidRPr="00132C1A">
              <w:rPr>
                <w:sz w:val="20"/>
                <w:szCs w:val="20"/>
              </w:rPr>
              <w:t xml:space="preserve"> </w:t>
            </w:r>
            <w:r w:rsidRPr="00132C1A">
              <w:rPr>
                <w:b/>
                <w:bCs/>
                <w:sz w:val="20"/>
                <w:szCs w:val="20"/>
              </w:rPr>
              <w:t xml:space="preserve">esclusione automatica </w:t>
            </w:r>
            <w:r w:rsidRPr="00132C1A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 xml:space="preserve">cause di esclusione </w:t>
            </w:r>
            <w:r w:rsidRPr="00132C1A">
              <w:rPr>
                <w:b/>
                <w:bCs/>
                <w:sz w:val="20"/>
                <w:szCs w:val="20"/>
              </w:rPr>
              <w:t>non automatica (comprensiva anche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132C1A">
              <w:rPr>
                <w:b/>
                <w:bCs/>
                <w:sz w:val="20"/>
                <w:szCs w:val="20"/>
              </w:rPr>
              <w:t>illecito professionale)</w:t>
            </w:r>
            <w:r w:rsidRPr="003A6AFB">
              <w:rPr>
                <w:sz w:val="20"/>
                <w:szCs w:val="20"/>
              </w:rPr>
              <w:t>;</w:t>
            </w:r>
          </w:p>
          <w:p w14:paraId="01470E63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M</w:t>
            </w:r>
            <w:r w:rsidRPr="00132C1A">
              <w:rPr>
                <w:b/>
                <w:bCs/>
                <w:sz w:val="20"/>
                <w:szCs w:val="20"/>
              </w:rPr>
              <w:t>odifica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132C1A">
              <w:rPr>
                <w:b/>
                <w:bCs/>
                <w:sz w:val="20"/>
                <w:szCs w:val="20"/>
              </w:rPr>
              <w:t xml:space="preserve">ambito soggettivo </w:t>
            </w:r>
            <w:r w:rsidRPr="00132C1A">
              <w:rPr>
                <w:sz w:val="20"/>
                <w:szCs w:val="20"/>
              </w:rPr>
              <w:t xml:space="preserve">dei soggetti tenuti alla dichiarazione. In particolare: eliminati i </w:t>
            </w:r>
            <w:r>
              <w:rPr>
                <w:sz w:val="20"/>
                <w:szCs w:val="20"/>
              </w:rPr>
              <w:t xml:space="preserve">soggetti </w:t>
            </w:r>
            <w:r w:rsidRPr="00132C1A">
              <w:rPr>
                <w:sz w:val="20"/>
                <w:szCs w:val="20"/>
              </w:rPr>
              <w:t>cessati</w:t>
            </w:r>
            <w:r>
              <w:rPr>
                <w:sz w:val="20"/>
                <w:szCs w:val="20"/>
              </w:rPr>
              <w:t xml:space="preserve"> dalla carica</w:t>
            </w:r>
            <w:r w:rsidRPr="00132C1A">
              <w:rPr>
                <w:sz w:val="20"/>
                <w:szCs w:val="20"/>
              </w:rPr>
              <w:t xml:space="preserve">, rilevanza del solo socio unico (anche persona giuridica, con riferimento ad amministratori), amministratore di fatto, operatore ai sensi del D.Lgs. 231/01; </w:t>
            </w:r>
          </w:p>
          <w:p w14:paraId="1DFF96FA" w14:textId="77777777" w:rsidR="0031530E" w:rsidRPr="00CC051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 xml:space="preserve">Patteggiamento </w:t>
            </w:r>
            <w:r w:rsidRPr="006E65FC">
              <w:rPr>
                <w:sz w:val="20"/>
                <w:szCs w:val="20"/>
              </w:rPr>
              <w:t>su cc.dd. «</w:t>
            </w:r>
            <w:r w:rsidRPr="006E65FC">
              <w:rPr>
                <w:i/>
                <w:iCs/>
                <w:sz w:val="20"/>
                <w:szCs w:val="20"/>
              </w:rPr>
              <w:t>reati escludenti</w:t>
            </w:r>
            <w:r w:rsidRPr="006E65FC">
              <w:rPr>
                <w:sz w:val="20"/>
                <w:szCs w:val="20"/>
              </w:rPr>
              <w:t>» rileva solo come causa non automatica.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14FB256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94 del D.Lgs. n. 36/2023;</w:t>
            </w:r>
          </w:p>
          <w:p w14:paraId="19797775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95 del D.Lgs. n. 36/2023.</w:t>
            </w:r>
          </w:p>
        </w:tc>
      </w:tr>
      <w:tr w:rsidR="0031530E" w:rsidRPr="00F275AA" w14:paraId="747D49E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806CE68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Illecito professionale grave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8295042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132C1A">
              <w:rPr>
                <w:b/>
                <w:bCs/>
                <w:sz w:val="20"/>
                <w:szCs w:val="20"/>
              </w:rPr>
              <w:t>Definizione dei presupposti generali</w:t>
            </w:r>
            <w:r w:rsidRPr="00132C1A">
              <w:rPr>
                <w:sz w:val="20"/>
                <w:szCs w:val="20"/>
              </w:rPr>
              <w:t xml:space="preserve"> per </w:t>
            </w:r>
            <w:r>
              <w:rPr>
                <w:sz w:val="20"/>
                <w:szCs w:val="20"/>
              </w:rPr>
              <w:t>l’</w:t>
            </w:r>
            <w:r w:rsidRPr="00132C1A">
              <w:rPr>
                <w:sz w:val="20"/>
                <w:szCs w:val="20"/>
              </w:rPr>
              <w:t>esclusione</w:t>
            </w:r>
            <w:r w:rsidRPr="006E65FC">
              <w:rPr>
                <w:sz w:val="20"/>
                <w:szCs w:val="20"/>
              </w:rPr>
              <w:t xml:space="preserve">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operatore economico in presenza di un grave </w:t>
            </w:r>
            <w:r w:rsidRPr="00132C1A">
              <w:rPr>
                <w:sz w:val="20"/>
                <w:szCs w:val="20"/>
              </w:rPr>
              <w:t>illecito professionale (elementi sufficienti a integrare illecito; idoneità a incidere su affidabilità/integrità; adeguati mezzi di prova)</w:t>
            </w:r>
            <w:r>
              <w:rPr>
                <w:sz w:val="20"/>
                <w:szCs w:val="20"/>
              </w:rPr>
              <w:t>;</w:t>
            </w:r>
          </w:p>
          <w:p w14:paraId="13F8E413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132C1A">
              <w:rPr>
                <w:b/>
                <w:bCs/>
                <w:sz w:val="20"/>
                <w:szCs w:val="20"/>
              </w:rPr>
              <w:t>Tassatività</w:t>
            </w:r>
            <w:r w:rsidRPr="00132C1A">
              <w:rPr>
                <w:sz w:val="20"/>
                <w:szCs w:val="20"/>
              </w:rPr>
              <w:t xml:space="preserve"> delle </w:t>
            </w:r>
            <w:r w:rsidRPr="00132C1A">
              <w:rPr>
                <w:b/>
                <w:bCs/>
                <w:sz w:val="20"/>
                <w:szCs w:val="20"/>
              </w:rPr>
              <w:t>fattispecie di illecito professionale</w:t>
            </w:r>
            <w:r w:rsidRPr="00132C1A">
              <w:rPr>
                <w:sz w:val="20"/>
                <w:szCs w:val="20"/>
              </w:rPr>
              <w:t xml:space="preserve"> e dei mezzi adeguati a dimostrarle;</w:t>
            </w:r>
          </w:p>
          <w:p w14:paraId="4E525630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000E2">
              <w:rPr>
                <w:b/>
                <w:bCs/>
                <w:sz w:val="20"/>
                <w:szCs w:val="20"/>
              </w:rPr>
              <w:t>Possibile rilevanza</w:t>
            </w:r>
            <w:r w:rsidRPr="007F2A86">
              <w:rPr>
                <w:b/>
                <w:bCs/>
                <w:sz w:val="20"/>
                <w:szCs w:val="20"/>
              </w:rPr>
              <w:t>, quale illecito professionale grave,</w:t>
            </w:r>
            <w:r>
              <w:rPr>
                <w:sz w:val="20"/>
                <w:szCs w:val="20"/>
              </w:rPr>
              <w:t xml:space="preserve"> </w:t>
            </w:r>
            <w:r w:rsidRPr="00132C1A">
              <w:rPr>
                <w:sz w:val="20"/>
                <w:szCs w:val="20"/>
              </w:rPr>
              <w:t xml:space="preserve">se riferiti a reati escludenti, </w:t>
            </w:r>
            <w:r w:rsidRPr="001000E2">
              <w:rPr>
                <w:b/>
                <w:bCs/>
                <w:sz w:val="20"/>
                <w:szCs w:val="20"/>
              </w:rPr>
              <w:t>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1000E2">
              <w:rPr>
                <w:b/>
                <w:bCs/>
                <w:sz w:val="20"/>
                <w:szCs w:val="20"/>
              </w:rPr>
              <w:t>avvio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1000E2">
              <w:rPr>
                <w:b/>
                <w:bCs/>
                <w:sz w:val="20"/>
                <w:szCs w:val="20"/>
              </w:rPr>
              <w:t>azione penale</w:t>
            </w:r>
            <w:r w:rsidRPr="00132C1A">
              <w:rPr>
                <w:sz w:val="20"/>
                <w:szCs w:val="20"/>
              </w:rPr>
              <w:t xml:space="preserve">, </w:t>
            </w:r>
            <w:r w:rsidRPr="001000E2">
              <w:rPr>
                <w:b/>
                <w:bCs/>
                <w:sz w:val="20"/>
                <w:szCs w:val="20"/>
              </w:rPr>
              <w:t>del rinvio a giudizio</w:t>
            </w:r>
            <w:r w:rsidRPr="00132C1A">
              <w:rPr>
                <w:sz w:val="20"/>
                <w:szCs w:val="20"/>
              </w:rPr>
              <w:t xml:space="preserve">, dei </w:t>
            </w:r>
            <w:r w:rsidRPr="001000E2">
              <w:rPr>
                <w:b/>
                <w:bCs/>
                <w:sz w:val="20"/>
                <w:szCs w:val="20"/>
              </w:rPr>
              <w:t>provvedimenti cautelari reali o personali</w:t>
            </w:r>
            <w:r w:rsidRPr="00132C1A"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7C14C80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95 del D.Lgs. n. 36/2023;</w:t>
            </w:r>
          </w:p>
          <w:p w14:paraId="5DA094E7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98 del D.Lgs. n. 36/2023.</w:t>
            </w:r>
          </w:p>
        </w:tc>
      </w:tr>
      <w:tr w:rsidR="0031530E" w:rsidRPr="00796FE2" w14:paraId="43EB552E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5899AB6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Irregolarità fiscale e contributiva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B00DF9C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Previsione dell’e</w:t>
            </w:r>
            <w:r w:rsidRPr="00132C1A">
              <w:rPr>
                <w:b/>
                <w:bCs/>
                <w:sz w:val="20"/>
                <w:szCs w:val="20"/>
              </w:rPr>
              <w:t>sclusione automatica</w:t>
            </w:r>
            <w:r w:rsidRPr="00132C1A">
              <w:rPr>
                <w:sz w:val="20"/>
                <w:szCs w:val="20"/>
              </w:rPr>
              <w:t xml:space="preserve"> quando 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 xml:space="preserve">operatore ha </w:t>
            </w:r>
            <w:r w:rsidRPr="001000E2">
              <w:rPr>
                <w:b/>
                <w:bCs/>
                <w:sz w:val="20"/>
                <w:szCs w:val="20"/>
              </w:rPr>
              <w:t>c</w:t>
            </w:r>
            <w:r w:rsidRPr="00132C1A">
              <w:rPr>
                <w:b/>
                <w:bCs/>
                <w:sz w:val="20"/>
                <w:szCs w:val="20"/>
              </w:rPr>
              <w:t xml:space="preserve">ommesso violazioni </w:t>
            </w:r>
            <w:r w:rsidRPr="00132C1A">
              <w:rPr>
                <w:b/>
                <w:bCs/>
                <w:sz w:val="20"/>
                <w:szCs w:val="20"/>
                <w:u w:val="single"/>
              </w:rPr>
              <w:t>gravi</w:t>
            </w:r>
            <w:r w:rsidRPr="00132C1A">
              <w:rPr>
                <w:b/>
                <w:bCs/>
                <w:sz w:val="20"/>
                <w:szCs w:val="20"/>
              </w:rPr>
              <w:t xml:space="preserve">, </w:t>
            </w:r>
            <w:r w:rsidRPr="00132C1A">
              <w:rPr>
                <w:b/>
                <w:bCs/>
                <w:sz w:val="20"/>
                <w:szCs w:val="20"/>
                <w:u w:val="single"/>
              </w:rPr>
              <w:t>definitivamente accertate</w:t>
            </w:r>
            <w:r w:rsidRPr="00132C1A">
              <w:rPr>
                <w:sz w:val="20"/>
                <w:szCs w:val="20"/>
              </w:rPr>
              <w:t xml:space="preserve"> ai sensi dell</w:t>
            </w:r>
            <w:r>
              <w:rPr>
                <w:sz w:val="20"/>
                <w:szCs w:val="20"/>
              </w:rPr>
              <w:t>’A</w:t>
            </w:r>
            <w:r w:rsidRPr="00132C1A">
              <w:rPr>
                <w:sz w:val="20"/>
                <w:szCs w:val="20"/>
              </w:rPr>
              <w:t>llegato II.10 (irregolarità contributive ostative a rilascio DURC positivo; irregolarità fiscali contenute in sentenze o atti amministrativi non più soggetti a impugnazione, per un importo che, con esclusione di sanzioni e interessi, pari o superiore al 10</w:t>
            </w:r>
            <w:r w:rsidRPr="006E65FC">
              <w:rPr>
                <w:sz w:val="20"/>
                <w:szCs w:val="20"/>
              </w:rPr>
              <w:t xml:space="preserve">% </w:t>
            </w:r>
            <w:r w:rsidRPr="00132C1A">
              <w:rPr>
                <w:sz w:val="20"/>
                <w:szCs w:val="20"/>
              </w:rPr>
              <w:t>del valore dell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>appalto. In ogni caso, 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 xml:space="preserve">importo della violazione non deve essere inferiore a </w:t>
            </w:r>
            <w:r w:rsidRPr="006E65FC">
              <w:rPr>
                <w:sz w:val="20"/>
                <w:szCs w:val="20"/>
              </w:rPr>
              <w:t xml:space="preserve">€ </w:t>
            </w:r>
            <w:r w:rsidRPr="00132C1A">
              <w:rPr>
                <w:sz w:val="20"/>
                <w:szCs w:val="20"/>
              </w:rPr>
              <w:t>35.000</w:t>
            </w:r>
            <w:r w:rsidRPr="006E65FC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</w:rPr>
              <w:t>, IVA esclusa</w:t>
            </w:r>
            <w:r w:rsidRPr="00132C1A">
              <w:rPr>
                <w:sz w:val="20"/>
                <w:szCs w:val="20"/>
              </w:rPr>
              <w:t>);</w:t>
            </w:r>
          </w:p>
          <w:p w14:paraId="3B8F0C95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dell’</w:t>
            </w:r>
            <w:r w:rsidRPr="001000E2">
              <w:rPr>
                <w:b/>
                <w:bCs/>
                <w:sz w:val="20"/>
                <w:szCs w:val="20"/>
              </w:rPr>
              <w:t xml:space="preserve">esclusione non automatica </w:t>
            </w:r>
            <w:r w:rsidRPr="00132C1A">
              <w:rPr>
                <w:sz w:val="20"/>
                <w:szCs w:val="20"/>
              </w:rPr>
              <w:t>se la S</w:t>
            </w:r>
            <w:r w:rsidRPr="006E65FC">
              <w:rPr>
                <w:sz w:val="20"/>
                <w:szCs w:val="20"/>
              </w:rPr>
              <w:t xml:space="preserve">tazione Appaltante </w:t>
            </w:r>
            <w:r w:rsidRPr="00132C1A">
              <w:rPr>
                <w:sz w:val="20"/>
                <w:szCs w:val="20"/>
              </w:rPr>
              <w:t xml:space="preserve">ritiene che </w:t>
            </w:r>
            <w:r w:rsidRPr="006E65F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Operatore Economico abbia commesso</w:t>
            </w:r>
            <w:r w:rsidRPr="00132C1A">
              <w:rPr>
                <w:sz w:val="20"/>
                <w:szCs w:val="20"/>
              </w:rPr>
              <w:t xml:space="preserve"> gravi violazioni non definitivamente accertate agli obblighi relativi al pagamento di imposte e tasse o contributi previdenziali;</w:t>
            </w:r>
          </w:p>
          <w:p w14:paraId="79E290B5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Mancata</w:t>
            </w:r>
            <w:r w:rsidRPr="00132C1A">
              <w:rPr>
                <w:sz w:val="20"/>
                <w:szCs w:val="20"/>
              </w:rPr>
              <w:t xml:space="preserve"> esclusione se</w:t>
            </w:r>
            <w:r w:rsidRPr="006E65FC">
              <w:rPr>
                <w:sz w:val="20"/>
                <w:szCs w:val="20"/>
              </w:rPr>
              <w:t xml:space="preserve"> 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 xml:space="preserve">operatore </w:t>
            </w:r>
            <w:r w:rsidRPr="006E65FC">
              <w:rPr>
                <w:sz w:val="20"/>
                <w:szCs w:val="20"/>
              </w:rPr>
              <w:t xml:space="preserve">economico dimostra di aver </w:t>
            </w:r>
            <w:r w:rsidRPr="00132C1A">
              <w:rPr>
                <w:sz w:val="20"/>
                <w:szCs w:val="20"/>
              </w:rPr>
              <w:t>ottemperato ai suoi obblighi pagando o impegnandosi in modo vincolante a pagare le imposte o i contributi previdenziali dovuti, compresi eventuali interessi o sanzioni, oppure quando il debito tributario o previdenziale sia comunque integralmente estinto, purché 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>estinzione, il pagamento o 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 xml:space="preserve">impegno si siano perfezionati anteriormente alla scadenza del termine di </w:t>
            </w:r>
            <w:r w:rsidRPr="00132C1A">
              <w:rPr>
                <w:sz w:val="20"/>
                <w:szCs w:val="20"/>
              </w:rPr>
              <w:lastRenderedPageBreak/>
              <w:t>presentazione dell</w:t>
            </w:r>
            <w:r>
              <w:rPr>
                <w:sz w:val="20"/>
                <w:szCs w:val="20"/>
              </w:rPr>
              <w:t>’</w:t>
            </w:r>
            <w:r w:rsidRPr="00132C1A">
              <w:rPr>
                <w:sz w:val="20"/>
                <w:szCs w:val="20"/>
              </w:rPr>
              <w:t>offerta;</w:t>
            </w:r>
          </w:p>
          <w:p w14:paraId="03D67521" w14:textId="77777777" w:rsidR="0031530E" w:rsidRPr="00132C1A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Mancata</w:t>
            </w:r>
            <w:r w:rsidRPr="00132C1A">
              <w:rPr>
                <w:sz w:val="20"/>
                <w:szCs w:val="20"/>
              </w:rPr>
              <w:t xml:space="preserve"> esclusione in caso di irregolarità fiscali e contributive non definitive in caso di «</w:t>
            </w:r>
            <w:r w:rsidRPr="00132C1A">
              <w:rPr>
                <w:i/>
                <w:iCs/>
                <w:sz w:val="20"/>
                <w:szCs w:val="20"/>
              </w:rPr>
              <w:t>compensazione con crediti certificati con la PA</w:t>
            </w:r>
            <w:r w:rsidRPr="00132C1A">
              <w:rPr>
                <w:sz w:val="20"/>
                <w:szCs w:val="20"/>
              </w:rPr>
              <w:t>».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5832C0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 xml:space="preserve">Art. 94 del D.Lgs. n. 36/2023; </w:t>
            </w:r>
          </w:p>
          <w:p w14:paraId="339FDFB2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 xml:space="preserve">Art. 95 del D.Lgs. n. 36/2023; </w:t>
            </w:r>
          </w:p>
          <w:p w14:paraId="17557161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Allegato II.10 al D.Lgs. n. 36/2023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31530E" w:rsidRPr="00F275AA" w14:paraId="0669BC41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62F8F5E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Disciplina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6E65FC">
              <w:rPr>
                <w:b/>
                <w:bCs/>
                <w:sz w:val="20"/>
                <w:szCs w:val="20"/>
              </w:rPr>
              <w:t>esclusione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99BD1D4" w14:textId="77777777" w:rsidR="0031530E" w:rsidRPr="00A314B9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A314B9">
              <w:rPr>
                <w:i/>
                <w:iCs/>
                <w:sz w:val="20"/>
                <w:szCs w:val="20"/>
              </w:rPr>
              <w:t>Self-cleaning</w:t>
            </w:r>
            <w:r w:rsidRPr="00A314B9">
              <w:rPr>
                <w:sz w:val="20"/>
                <w:szCs w:val="20"/>
              </w:rPr>
              <w:t xml:space="preserve"> non ammesso in caso di irregolarità fiscale o contributiva;</w:t>
            </w:r>
          </w:p>
          <w:p w14:paraId="49CD9333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della possibilità per l’operatore economico di provare</w:t>
            </w:r>
            <w:r w:rsidRPr="006E65FC">
              <w:rPr>
                <w:sz w:val="20"/>
                <w:szCs w:val="20"/>
              </w:rPr>
              <w:t xml:space="preserve"> di aver adottato idonee misure di </w:t>
            </w:r>
            <w:r w:rsidRPr="00A314B9">
              <w:rPr>
                <w:i/>
                <w:iCs/>
                <w:sz w:val="20"/>
                <w:szCs w:val="20"/>
              </w:rPr>
              <w:t>self-cleaning</w:t>
            </w:r>
            <w:r w:rsidRPr="00A314B9">
              <w:rPr>
                <w:sz w:val="20"/>
                <w:szCs w:val="20"/>
              </w:rPr>
              <w:t xml:space="preserve"> in </w:t>
            </w:r>
            <w:r w:rsidRPr="006E65FC">
              <w:rPr>
                <w:sz w:val="20"/>
                <w:szCs w:val="20"/>
              </w:rPr>
              <w:t xml:space="preserve">sede di </w:t>
            </w:r>
            <w:r w:rsidRPr="00A314B9">
              <w:rPr>
                <w:sz w:val="20"/>
                <w:szCs w:val="20"/>
              </w:rPr>
              <w:t>offerta (o comprova impossibilità di adottare misure prima dell</w:t>
            </w:r>
            <w:r>
              <w:rPr>
                <w:sz w:val="20"/>
                <w:szCs w:val="20"/>
              </w:rPr>
              <w:t>’</w:t>
            </w:r>
            <w:r w:rsidRPr="00A314B9">
              <w:rPr>
                <w:sz w:val="20"/>
                <w:szCs w:val="20"/>
              </w:rPr>
              <w:t>offerta)</w:t>
            </w:r>
            <w:r>
              <w:rPr>
                <w:sz w:val="20"/>
                <w:szCs w:val="20"/>
              </w:rPr>
              <w:t>, s</w:t>
            </w:r>
            <w:r w:rsidRPr="00A314B9">
              <w:rPr>
                <w:sz w:val="20"/>
                <w:szCs w:val="20"/>
              </w:rPr>
              <w:t xml:space="preserve">e </w:t>
            </w:r>
            <w:r w:rsidRPr="006E65FC">
              <w:rPr>
                <w:sz w:val="20"/>
                <w:szCs w:val="20"/>
              </w:rPr>
              <w:t xml:space="preserve">la </w:t>
            </w:r>
            <w:r w:rsidRPr="00A314B9">
              <w:rPr>
                <w:sz w:val="20"/>
                <w:szCs w:val="20"/>
              </w:rPr>
              <w:t>causa di esclusione</w:t>
            </w:r>
            <w:r w:rsidRPr="006E65FC">
              <w:rPr>
                <w:sz w:val="20"/>
                <w:szCs w:val="20"/>
              </w:rPr>
              <w:t xml:space="preserve"> è</w:t>
            </w:r>
            <w:r w:rsidRPr="00A314B9">
              <w:rPr>
                <w:sz w:val="20"/>
                <w:szCs w:val="20"/>
              </w:rPr>
              <w:t xml:space="preserve"> antecedente a</w:t>
            </w:r>
            <w:r w:rsidRPr="006E65FC">
              <w:rPr>
                <w:sz w:val="20"/>
                <w:szCs w:val="20"/>
              </w:rPr>
              <w:t>lla</w:t>
            </w:r>
            <w:r w:rsidRPr="00A314B9">
              <w:rPr>
                <w:sz w:val="20"/>
                <w:szCs w:val="20"/>
              </w:rPr>
              <w:t xml:space="preserve"> presentazione </w:t>
            </w:r>
            <w:r>
              <w:rPr>
                <w:sz w:val="20"/>
                <w:szCs w:val="20"/>
              </w:rPr>
              <w:t>dell’</w:t>
            </w:r>
            <w:r w:rsidRPr="00A314B9">
              <w:rPr>
                <w:sz w:val="20"/>
                <w:szCs w:val="20"/>
              </w:rPr>
              <w:t>offerta;</w:t>
            </w:r>
          </w:p>
          <w:p w14:paraId="6E94D58E" w14:textId="77777777" w:rsidR="0031530E" w:rsidRPr="00A314B9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della possibilità per l’operatore economico di adottare e comunicare alla Stazione Appaltante le idonee misure di </w:t>
            </w:r>
            <w:r w:rsidRPr="00EF1407">
              <w:rPr>
                <w:i/>
                <w:iCs/>
                <w:sz w:val="20"/>
                <w:szCs w:val="20"/>
              </w:rPr>
              <w:t xml:space="preserve">self-cleaning </w:t>
            </w:r>
            <w:r>
              <w:rPr>
                <w:sz w:val="20"/>
                <w:szCs w:val="20"/>
              </w:rPr>
              <w:t xml:space="preserve">anche successivamente se </w:t>
            </w:r>
            <w:r w:rsidRPr="00EF1407">
              <w:rPr>
                <w:sz w:val="20"/>
                <w:szCs w:val="20"/>
              </w:rPr>
              <w:t>la causa di esclusione si è verificata successivamente alla presentazione dell'offerta</w:t>
            </w:r>
            <w:r>
              <w:rPr>
                <w:sz w:val="20"/>
                <w:szCs w:val="20"/>
              </w:rPr>
              <w:t>;</w:t>
            </w:r>
          </w:p>
          <w:p w14:paraId="5ED1941B" w14:textId="77777777" w:rsidR="0031530E" w:rsidRPr="00A314B9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EF1407">
              <w:rPr>
                <w:b/>
                <w:bCs/>
                <w:sz w:val="20"/>
                <w:szCs w:val="20"/>
              </w:rPr>
              <w:t>Nuovo regime temporale per la rilevanza delle cause di esclusione</w:t>
            </w:r>
            <w:r w:rsidRPr="00A314B9">
              <w:rPr>
                <w:sz w:val="20"/>
                <w:szCs w:val="20"/>
              </w:rPr>
              <w:t>:</w:t>
            </w:r>
          </w:p>
          <w:p w14:paraId="292BC2D3" w14:textId="77777777" w:rsidR="0031530E" w:rsidRPr="006E65FC" w:rsidRDefault="0031530E" w:rsidP="00834A5D">
            <w:pPr>
              <w:pStyle w:val="Paragrafoelenco"/>
              <w:numPr>
                <w:ilvl w:val="0"/>
                <w:numId w:val="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A4244C">
              <w:rPr>
                <w:sz w:val="20"/>
                <w:szCs w:val="20"/>
              </w:rPr>
              <w:t>per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512EC">
              <w:rPr>
                <w:b/>
                <w:bCs/>
                <w:sz w:val="20"/>
                <w:szCs w:val="20"/>
              </w:rPr>
              <w:t>tre anni</w:t>
            </w:r>
            <w:r w:rsidRPr="00A314B9">
              <w:rPr>
                <w:sz w:val="20"/>
                <w:szCs w:val="20"/>
              </w:rPr>
              <w:t xml:space="preserve"> da</w:t>
            </w:r>
            <w:r w:rsidRPr="006E65FC">
              <w:rPr>
                <w:sz w:val="20"/>
                <w:szCs w:val="20"/>
              </w:rPr>
              <w:t xml:space="preserve">lla </w:t>
            </w:r>
            <w:r w:rsidRPr="00A314B9">
              <w:rPr>
                <w:sz w:val="20"/>
                <w:szCs w:val="20"/>
              </w:rPr>
              <w:t>commissione del fatto in caso di</w:t>
            </w:r>
            <w:r w:rsidRPr="006E65FC">
              <w:rPr>
                <w:sz w:val="20"/>
                <w:szCs w:val="20"/>
              </w:rPr>
              <w:t xml:space="preserve"> </w:t>
            </w:r>
            <w:r w:rsidRPr="00A314B9">
              <w:rPr>
                <w:sz w:val="20"/>
                <w:szCs w:val="20"/>
              </w:rPr>
              <w:t xml:space="preserve">gravi infrazioni, debitamente accertate con qualunque mezzo adeguato, alle norme in materia di salute e di sicurezza sul lavoro nonché agli obblighi in materia ambientale, sociale e del lavoro stabiliti dalla normativa europea e nazionale, dai contratti collettivi o dalle convenzioni internazionali in materia sociale e ambientale (All. X Dir. (UE) 24/2014); </w:t>
            </w:r>
          </w:p>
          <w:p w14:paraId="0EDDEB87" w14:textId="77777777" w:rsidR="0031530E" w:rsidRPr="006E65FC" w:rsidRDefault="0031530E" w:rsidP="00834A5D">
            <w:pPr>
              <w:pStyle w:val="Paragrafoelenco"/>
              <w:numPr>
                <w:ilvl w:val="0"/>
                <w:numId w:val="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A4244C">
              <w:rPr>
                <w:b/>
                <w:bCs/>
                <w:sz w:val="20"/>
                <w:szCs w:val="20"/>
              </w:rPr>
              <w:t>per la sola gara cui la condotta si riferisce</w:t>
            </w:r>
            <w:r w:rsidRPr="006E65FC">
              <w:rPr>
                <w:sz w:val="20"/>
                <w:szCs w:val="20"/>
              </w:rPr>
              <w:t>, in caso di: (i) situazione di conflitto di interesse; (ii) distorsione della concorrenza derivante dal precedente coinvolgimento degli operatori economici nella preparazione della procedura d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appalto che non possa essere risolta con misure meno intrusive; (iii) presentazione di offerte imputabili a unico centro decisionale per effetto di accordi con altri operatori;</w:t>
            </w:r>
          </w:p>
          <w:p w14:paraId="72A14978" w14:textId="77777777" w:rsidR="0031530E" w:rsidRPr="006E65FC" w:rsidRDefault="0031530E" w:rsidP="00834A5D">
            <w:pPr>
              <w:pStyle w:val="Paragrafoelenco"/>
              <w:numPr>
                <w:ilvl w:val="0"/>
                <w:numId w:val="6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per </w:t>
            </w:r>
            <w:r w:rsidRPr="00A4244C">
              <w:rPr>
                <w:b/>
                <w:bCs/>
                <w:sz w:val="20"/>
                <w:szCs w:val="20"/>
              </w:rPr>
              <w:t>tre anni</w:t>
            </w:r>
            <w:r w:rsidRPr="006E65FC">
              <w:rPr>
                <w:sz w:val="20"/>
                <w:szCs w:val="20"/>
              </w:rPr>
              <w:t xml:space="preserve"> in caso di illecito professionale</w:t>
            </w:r>
            <w:r>
              <w:rPr>
                <w:sz w:val="20"/>
                <w:szCs w:val="20"/>
              </w:rPr>
              <w:t>.</w:t>
            </w:r>
          </w:p>
          <w:p w14:paraId="308C7FF9" w14:textId="77777777" w:rsidR="0031530E" w:rsidRPr="00796FE2" w:rsidRDefault="0031530E" w:rsidP="00834A5D">
            <w:pPr>
              <w:pStyle w:val="Paragrafoelenco"/>
              <w:numPr>
                <w:ilvl w:val="0"/>
                <w:numId w:val="2"/>
              </w:numPr>
              <w:spacing w:before="60"/>
              <w:ind w:left="429" w:hanging="28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F1407">
              <w:rPr>
                <w:b/>
                <w:bCs/>
                <w:sz w:val="20"/>
                <w:szCs w:val="20"/>
              </w:rPr>
              <w:t>L’eventuale impugnazione di taluno dei provvedimenti suindicati non rileva ai fini della decorrenza del triennio</w:t>
            </w:r>
            <w:r w:rsidRPr="006E65FC"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916453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96 del D.Lgs. n. 36/2023.</w:t>
            </w:r>
          </w:p>
        </w:tc>
      </w:tr>
      <w:tr w:rsidR="0031530E" w:rsidRPr="00F275AA" w14:paraId="4270EF84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167AD5B" w14:textId="77777777" w:rsidR="0031530E" w:rsidRPr="009512E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Cause di esclusione negli RTI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1724830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42426">
              <w:rPr>
                <w:sz w:val="20"/>
                <w:szCs w:val="20"/>
              </w:rPr>
              <w:t xml:space="preserve">Introduzione di </w:t>
            </w:r>
            <w:r w:rsidRPr="00A4244C">
              <w:rPr>
                <w:b/>
                <w:bCs/>
                <w:sz w:val="20"/>
                <w:szCs w:val="20"/>
              </w:rPr>
              <w:t>una disciplina specifica per i casi in cui un’impresa del RTI sia interessata da causa di esclusione</w:t>
            </w:r>
            <w:r w:rsidRPr="00642426">
              <w:rPr>
                <w:sz w:val="20"/>
                <w:szCs w:val="20"/>
              </w:rPr>
              <w:t xml:space="preserve"> (automatica o non automatica). In particolare, il </w:t>
            </w:r>
            <w:r>
              <w:rPr>
                <w:sz w:val="20"/>
                <w:szCs w:val="20"/>
              </w:rPr>
              <w:t>RTI</w:t>
            </w:r>
            <w:r w:rsidRPr="00642426">
              <w:rPr>
                <w:sz w:val="20"/>
                <w:szCs w:val="20"/>
              </w:rPr>
              <w:t xml:space="preserve"> non </w:t>
            </w:r>
            <w:r w:rsidRPr="002A72AF">
              <w:rPr>
                <w:sz w:val="20"/>
                <w:szCs w:val="20"/>
              </w:rPr>
              <w:t xml:space="preserve">è escluso qualora un suo partecipante sia interessato da una causa automatica o non automatica di esclusione o dal venir meno di un requisito di qualificazione, </w:t>
            </w:r>
            <w:r w:rsidRPr="00286805">
              <w:rPr>
                <w:sz w:val="20"/>
                <w:szCs w:val="20"/>
              </w:rPr>
              <w:t xml:space="preserve">se </w:t>
            </w:r>
            <w:r w:rsidRPr="002A72AF">
              <w:rPr>
                <w:sz w:val="20"/>
                <w:szCs w:val="20"/>
              </w:rPr>
              <w:t>ha adempiuto ai seguenti oneri:</w:t>
            </w:r>
          </w:p>
          <w:p w14:paraId="384821E5" w14:textId="77777777" w:rsidR="0031530E" w:rsidRDefault="0031530E" w:rsidP="00834A5D">
            <w:pPr>
              <w:pStyle w:val="Paragrafoelenco"/>
              <w:numPr>
                <w:ilvl w:val="0"/>
                <w:numId w:val="19"/>
              </w:numPr>
              <w:shd w:val="clear" w:color="auto" w:fill="DEEAF6" w:themeFill="accent5" w:themeFillTint="33"/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A4244C">
              <w:rPr>
                <w:b/>
                <w:bCs/>
                <w:sz w:val="20"/>
                <w:szCs w:val="20"/>
              </w:rPr>
              <w:t>in sede di presentazione dell'offerta</w:t>
            </w:r>
            <w:r w:rsidRPr="00286805">
              <w:rPr>
                <w:sz w:val="20"/>
                <w:szCs w:val="20"/>
              </w:rPr>
              <w:t>:</w:t>
            </w:r>
          </w:p>
          <w:p w14:paraId="42491A78" w14:textId="77777777" w:rsidR="0031530E" w:rsidRDefault="0031530E" w:rsidP="00834A5D">
            <w:pPr>
              <w:pStyle w:val="Paragrafoelenco"/>
              <w:numPr>
                <w:ilvl w:val="0"/>
                <w:numId w:val="21"/>
              </w:numPr>
              <w:shd w:val="clear" w:color="auto" w:fill="DEEAF6" w:themeFill="accent5" w:themeFillTint="33"/>
              <w:spacing w:before="60" w:after="60"/>
              <w:ind w:left="1139" w:hanging="284"/>
              <w:contextualSpacing w:val="0"/>
              <w:jc w:val="both"/>
              <w:rPr>
                <w:sz w:val="20"/>
                <w:szCs w:val="20"/>
              </w:rPr>
            </w:pPr>
            <w:r w:rsidRPr="00286805">
              <w:rPr>
                <w:sz w:val="20"/>
                <w:szCs w:val="20"/>
              </w:rPr>
              <w:t xml:space="preserve">ha comunicato alla stazione appaltante la causa escludente verificatasi prima della presentazione dell'offerta e il venir meno, prima della presentazione dell'offerta, del requisito di qualificazione, nonché il soggetto che ne è </w:t>
            </w:r>
            <w:r w:rsidRPr="00286805">
              <w:rPr>
                <w:sz w:val="20"/>
                <w:szCs w:val="20"/>
              </w:rPr>
              <w:lastRenderedPageBreak/>
              <w:t>interessato;</w:t>
            </w:r>
          </w:p>
          <w:p w14:paraId="098943FD" w14:textId="77777777" w:rsidR="0031530E" w:rsidRPr="00286805" w:rsidRDefault="0031530E" w:rsidP="00834A5D">
            <w:pPr>
              <w:pStyle w:val="Paragrafoelenco"/>
              <w:numPr>
                <w:ilvl w:val="0"/>
                <w:numId w:val="21"/>
              </w:numPr>
              <w:spacing w:before="60" w:after="60"/>
              <w:ind w:left="1139" w:hanging="284"/>
              <w:contextualSpacing w:val="0"/>
              <w:jc w:val="both"/>
              <w:rPr>
                <w:sz w:val="20"/>
                <w:szCs w:val="20"/>
              </w:rPr>
            </w:pPr>
            <w:r w:rsidRPr="00286805">
              <w:rPr>
                <w:sz w:val="20"/>
                <w:szCs w:val="20"/>
              </w:rPr>
              <w:t xml:space="preserve">ha comprovato </w:t>
            </w:r>
            <w:r>
              <w:rPr>
                <w:sz w:val="20"/>
                <w:szCs w:val="20"/>
              </w:rPr>
              <w:t>di aver estromesso o sostituito il componente con un altro soggetto munito dei necessari requisiti</w:t>
            </w:r>
            <w:r w:rsidRPr="00286805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 xml:space="preserve"> comunicato</w:t>
            </w:r>
            <w:r w:rsidRPr="00286805">
              <w:rPr>
                <w:sz w:val="20"/>
                <w:szCs w:val="20"/>
              </w:rPr>
              <w:t xml:space="preserve"> l</w:t>
            </w:r>
            <w:r>
              <w:rPr>
                <w:sz w:val="20"/>
                <w:szCs w:val="20"/>
              </w:rPr>
              <w:t>’</w:t>
            </w:r>
            <w:r w:rsidRPr="00286805">
              <w:rPr>
                <w:sz w:val="20"/>
                <w:szCs w:val="20"/>
              </w:rPr>
              <w:t>impossibilità di adottarle prima di quella data;</w:t>
            </w:r>
          </w:p>
          <w:p w14:paraId="720204F1" w14:textId="77777777" w:rsidR="0031530E" w:rsidRPr="009512EC" w:rsidRDefault="0031530E" w:rsidP="00834A5D">
            <w:pPr>
              <w:pStyle w:val="Paragrafoelenco"/>
              <w:numPr>
                <w:ilvl w:val="0"/>
                <w:numId w:val="19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2A72AF">
              <w:rPr>
                <w:sz w:val="20"/>
                <w:szCs w:val="20"/>
              </w:rPr>
              <w:t xml:space="preserve">ha adottato e comunicato le misure di cui </w:t>
            </w:r>
            <w:r>
              <w:rPr>
                <w:sz w:val="20"/>
                <w:szCs w:val="20"/>
              </w:rPr>
              <w:t>al punto che precede</w:t>
            </w:r>
            <w:r w:rsidRPr="002A72AF">
              <w:rPr>
                <w:sz w:val="20"/>
                <w:szCs w:val="20"/>
              </w:rPr>
              <w:t xml:space="preserve"> prima dell'aggiudicazione, </w:t>
            </w:r>
            <w:r w:rsidRPr="00A4244C">
              <w:rPr>
                <w:b/>
                <w:bCs/>
                <w:sz w:val="20"/>
                <w:szCs w:val="20"/>
              </w:rPr>
              <w:t>se la causa escludente si è verificata successivamente alla presentazione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A4244C">
              <w:rPr>
                <w:b/>
                <w:bCs/>
                <w:sz w:val="20"/>
                <w:szCs w:val="20"/>
              </w:rPr>
              <w:t>offerta</w:t>
            </w:r>
            <w:r w:rsidRPr="002A72AF">
              <w:rPr>
                <w:sz w:val="20"/>
                <w:szCs w:val="20"/>
              </w:rPr>
              <w:t xml:space="preserve"> o il requisito di qualificazione è venuto meno successivamente alla presentazione dell'offerta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2848F0E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>Art. 97 del D.Lgs. n. 36/2023.</w:t>
            </w:r>
          </w:p>
        </w:tc>
      </w:tr>
      <w:tr w:rsidR="0031530E" w:rsidRPr="009512EC" w14:paraId="3C534B3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1A17638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Requisiti di carattere speciale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A40FEF6" w14:textId="77777777" w:rsidR="0031530E" w:rsidRPr="00A314B9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A314B9">
              <w:rPr>
                <w:sz w:val="20"/>
                <w:szCs w:val="20"/>
              </w:rPr>
              <w:t>Previsione di un sistema di qualificazione degli operatori economici per gli appalti di servizi e forniture, che sarà introdotto e disciplinato da un</w:t>
            </w:r>
            <w:r w:rsidRPr="006E65FC">
              <w:rPr>
                <w:sz w:val="20"/>
                <w:szCs w:val="20"/>
              </w:rPr>
              <w:t xml:space="preserve"> apposito</w:t>
            </w:r>
            <w:r w:rsidRPr="00A314B9">
              <w:rPr>
                <w:sz w:val="20"/>
                <w:szCs w:val="20"/>
              </w:rPr>
              <w:t xml:space="preserve"> regolamento</w:t>
            </w:r>
            <w:r>
              <w:rPr>
                <w:sz w:val="20"/>
                <w:szCs w:val="20"/>
              </w:rPr>
              <w:t xml:space="preserve"> che individuerà i requisiti di carattere speciale</w:t>
            </w:r>
            <w:r w:rsidRPr="00A314B9">
              <w:rPr>
                <w:sz w:val="20"/>
                <w:szCs w:val="20"/>
              </w:rPr>
              <w:t>;</w:t>
            </w:r>
          </w:p>
          <w:p w14:paraId="1A81FB30" w14:textId="77777777" w:rsidR="0031530E" w:rsidRPr="00A314B9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della possibilità per le Stazioni Appaltanti, f</w:t>
            </w:r>
            <w:r w:rsidRPr="006E65FC">
              <w:rPr>
                <w:sz w:val="20"/>
                <w:szCs w:val="20"/>
              </w:rPr>
              <w:t>i</w:t>
            </w:r>
            <w:r w:rsidRPr="00A314B9">
              <w:rPr>
                <w:sz w:val="20"/>
                <w:szCs w:val="20"/>
              </w:rPr>
              <w:t>no all</w:t>
            </w:r>
            <w:r>
              <w:rPr>
                <w:sz w:val="20"/>
                <w:szCs w:val="20"/>
              </w:rPr>
              <w:t>’</w:t>
            </w:r>
            <w:r w:rsidRPr="00A314B9">
              <w:rPr>
                <w:sz w:val="20"/>
                <w:szCs w:val="20"/>
              </w:rPr>
              <w:t>entrata in vigore del regolamento</w:t>
            </w:r>
            <w:r w:rsidRPr="006E65FC">
              <w:rPr>
                <w:sz w:val="20"/>
                <w:szCs w:val="20"/>
              </w:rPr>
              <w:t xml:space="preserve"> di cui al punto che precede</w:t>
            </w:r>
            <w:r w:rsidRPr="00A314B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di </w:t>
            </w:r>
            <w:r w:rsidRPr="00A314B9">
              <w:rPr>
                <w:sz w:val="20"/>
                <w:szCs w:val="20"/>
              </w:rPr>
              <w:t xml:space="preserve">richiedere agli operatori economici </w:t>
            </w:r>
            <w:r w:rsidRPr="00A314B9">
              <w:rPr>
                <w:b/>
                <w:bCs/>
                <w:sz w:val="20"/>
                <w:szCs w:val="20"/>
              </w:rPr>
              <w:t>esclusivamente</w:t>
            </w:r>
            <w:r w:rsidRPr="00A314B9">
              <w:rPr>
                <w:sz w:val="20"/>
                <w:szCs w:val="20"/>
              </w:rPr>
              <w:t>:</w:t>
            </w:r>
          </w:p>
          <w:p w14:paraId="078E1AEC" w14:textId="77777777" w:rsidR="0031530E" w:rsidRPr="006E65FC" w:rsidRDefault="0031530E" w:rsidP="00834A5D">
            <w:pPr>
              <w:pStyle w:val="Paragrafoelenco"/>
              <w:numPr>
                <w:ilvl w:val="0"/>
                <w:numId w:val="7"/>
              </w:numPr>
              <w:shd w:val="clear" w:color="auto" w:fill="DEEAF6" w:themeFill="accent5" w:themeFillTint="33"/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F1407">
              <w:rPr>
                <w:b/>
                <w:bCs/>
                <w:sz w:val="20"/>
                <w:szCs w:val="20"/>
              </w:rPr>
              <w:t>quale requisito di capacità economica e finanziaria</w:t>
            </w:r>
            <w:r w:rsidRPr="00A314B9">
              <w:rPr>
                <w:sz w:val="20"/>
                <w:szCs w:val="20"/>
              </w:rPr>
              <w:t xml:space="preserve"> un fatturato globale non superiore al doppio del valore stimato dell</w:t>
            </w:r>
            <w:r>
              <w:rPr>
                <w:sz w:val="20"/>
                <w:szCs w:val="20"/>
              </w:rPr>
              <w:t>’</w:t>
            </w:r>
            <w:r w:rsidRPr="00A314B9">
              <w:rPr>
                <w:sz w:val="20"/>
                <w:szCs w:val="20"/>
              </w:rPr>
              <w:t>appalto, maturato nel triennio precedente a quello di indizione della procedura;</w:t>
            </w:r>
          </w:p>
          <w:p w14:paraId="71AB8D96" w14:textId="77777777" w:rsidR="0031530E" w:rsidRPr="009512EC" w:rsidRDefault="0031530E" w:rsidP="00834A5D">
            <w:pPr>
              <w:pStyle w:val="Paragrafoelenco"/>
              <w:numPr>
                <w:ilvl w:val="0"/>
                <w:numId w:val="7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EF1407">
              <w:rPr>
                <w:b/>
                <w:bCs/>
                <w:sz w:val="20"/>
                <w:szCs w:val="20"/>
              </w:rPr>
              <w:t>quale requisito di capacità tecnica e professionale</w:t>
            </w:r>
            <w:r w:rsidRPr="006E65FC">
              <w:rPr>
                <w:sz w:val="20"/>
                <w:szCs w:val="20"/>
              </w:rPr>
              <w:t xml:space="preserve"> di aver eseguito nel precedente triennio dalla data di indizione della procedura di gara contratti analoghi a quello in affidamento anche a favore di soggetti privati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D639E60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10 del D.Lgs. n. 36/2023;</w:t>
            </w:r>
          </w:p>
          <w:p w14:paraId="51BFBA3E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 xml:space="preserve">Art. 100 del D.Lgs. n. 36/2023; </w:t>
            </w:r>
          </w:p>
          <w:p w14:paraId="4358AF8B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5B5931">
              <w:rPr>
                <w:sz w:val="20"/>
                <w:szCs w:val="20"/>
              </w:rPr>
              <w:t>Allegato II.12 al D.Lgs. n. 36/2023.</w:t>
            </w:r>
          </w:p>
        </w:tc>
      </w:tr>
      <w:tr w:rsidR="0031530E" w:rsidRPr="00F275AA" w14:paraId="20A3EE20" w14:textId="77777777" w:rsidTr="00834A5D">
        <w:trPr>
          <w:trHeight w:val="112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279C0D7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Soccorso Istruttorio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3E7F0F6" w14:textId="77777777" w:rsidR="0031530E" w:rsidRPr="001C6C47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1C6C47">
              <w:rPr>
                <w:sz w:val="20"/>
                <w:szCs w:val="20"/>
              </w:rPr>
              <w:t xml:space="preserve">Esercitabile </w:t>
            </w:r>
            <w:r>
              <w:rPr>
                <w:sz w:val="20"/>
                <w:szCs w:val="20"/>
              </w:rPr>
              <w:t xml:space="preserve">in via residuale </w:t>
            </w:r>
            <w:r w:rsidRPr="001C6C47">
              <w:rPr>
                <w:sz w:val="20"/>
                <w:szCs w:val="20"/>
              </w:rPr>
              <w:t>per acquisire documenti non contenuti nel F</w:t>
            </w:r>
            <w:r w:rsidRPr="006E65FC">
              <w:rPr>
                <w:sz w:val="20"/>
                <w:szCs w:val="20"/>
              </w:rPr>
              <w:t>ascicolo Virtuale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Operatore Economico – FVOE</w:t>
            </w:r>
            <w:r w:rsidRPr="00394454">
              <w:rPr>
                <w:sz w:val="20"/>
                <w:szCs w:val="20"/>
              </w:rPr>
              <w:t>;</w:t>
            </w:r>
            <w:r w:rsidRPr="001C6C47">
              <w:rPr>
                <w:b/>
                <w:bCs/>
                <w:sz w:val="20"/>
                <w:szCs w:val="20"/>
              </w:rPr>
              <w:t xml:space="preserve"> </w:t>
            </w:r>
            <w:r w:rsidRPr="001C6C47">
              <w:rPr>
                <w:sz w:val="20"/>
                <w:szCs w:val="20"/>
              </w:rPr>
              <w:t> </w:t>
            </w:r>
          </w:p>
          <w:p w14:paraId="24140D0C" w14:textId="77777777" w:rsidR="0031530E" w:rsidRPr="001C6C47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Previsione del t</w:t>
            </w:r>
            <w:r w:rsidRPr="001C6C47">
              <w:rPr>
                <w:b/>
                <w:bCs/>
                <w:sz w:val="20"/>
                <w:szCs w:val="20"/>
              </w:rPr>
              <w:t>ermine minimo</w:t>
            </w:r>
            <w:r w:rsidRPr="001C6C4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non inferiore</w:t>
            </w:r>
            <w:r w:rsidRPr="006E65FC">
              <w:rPr>
                <w:sz w:val="20"/>
                <w:szCs w:val="20"/>
              </w:rPr>
              <w:t xml:space="preserve"> </w:t>
            </w:r>
            <w:r w:rsidRPr="001C6C47">
              <w:rPr>
                <w:b/>
                <w:bCs/>
                <w:sz w:val="20"/>
                <w:szCs w:val="20"/>
              </w:rPr>
              <w:t>5 g</w:t>
            </w:r>
            <w:r>
              <w:rPr>
                <w:b/>
                <w:bCs/>
                <w:sz w:val="20"/>
                <w:szCs w:val="20"/>
              </w:rPr>
              <w:t>iorni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1C6C47">
              <w:rPr>
                <w:sz w:val="20"/>
                <w:szCs w:val="20"/>
              </w:rPr>
              <w:t>per rispondere</w:t>
            </w:r>
            <w:r>
              <w:rPr>
                <w:sz w:val="20"/>
                <w:szCs w:val="20"/>
              </w:rPr>
              <w:t xml:space="preserve"> (nella formulazione dell’art. 83, comma 9, del D.Lgs. n. 50/2016, era fissato un termine massimo di 10 giorni)</w:t>
            </w:r>
            <w:r w:rsidRPr="001C6C47">
              <w:rPr>
                <w:sz w:val="20"/>
                <w:szCs w:val="20"/>
              </w:rPr>
              <w:t>;</w:t>
            </w:r>
          </w:p>
          <w:p w14:paraId="30454C9E" w14:textId="77777777" w:rsidR="0031530E" w:rsidRPr="001C6C47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P</w:t>
            </w:r>
            <w:r w:rsidRPr="001C6C47">
              <w:rPr>
                <w:sz w:val="20"/>
                <w:szCs w:val="20"/>
              </w:rPr>
              <w:t xml:space="preserve">ossibili chiarimenti sui contenuti delle </w:t>
            </w:r>
            <w:r w:rsidRPr="001C6C47">
              <w:rPr>
                <w:b/>
                <w:bCs/>
                <w:sz w:val="20"/>
                <w:szCs w:val="20"/>
              </w:rPr>
              <w:t>offerte tecniche ed economiche, senza modificare il contenuto</w:t>
            </w:r>
            <w:r w:rsidRPr="001C6C47">
              <w:rPr>
                <w:sz w:val="20"/>
                <w:szCs w:val="20"/>
              </w:rPr>
              <w:t> (soccorso procedimentale);</w:t>
            </w:r>
          </w:p>
          <w:p w14:paraId="6D991945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P</w:t>
            </w:r>
            <w:r w:rsidRPr="001C6C47">
              <w:rPr>
                <w:sz w:val="20"/>
                <w:szCs w:val="20"/>
              </w:rPr>
              <w:t xml:space="preserve">ossibilità di </w:t>
            </w:r>
            <w:r w:rsidRPr="009512EC">
              <w:rPr>
                <w:b/>
                <w:bCs/>
                <w:sz w:val="20"/>
                <w:szCs w:val="20"/>
              </w:rPr>
              <w:t>rettifica di errore materiale dell’offerta</w:t>
            </w:r>
            <w:r w:rsidRPr="001C6C47">
              <w:rPr>
                <w:sz w:val="20"/>
                <w:szCs w:val="20"/>
              </w:rPr>
              <w:t xml:space="preserve"> fino al giorno fissato per la loro </w:t>
            </w:r>
            <w:r w:rsidRPr="009512EC">
              <w:rPr>
                <w:sz w:val="20"/>
                <w:szCs w:val="20"/>
              </w:rPr>
              <w:t>apertura, purché</w:t>
            </w:r>
            <w:r w:rsidRPr="006E65FC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256B5E09" w14:textId="77777777" w:rsidR="0031530E" w:rsidRPr="009512EC" w:rsidRDefault="0031530E" w:rsidP="00834A5D">
            <w:pPr>
              <w:pStyle w:val="Paragrafoelenco"/>
              <w:numPr>
                <w:ilvl w:val="0"/>
                <w:numId w:val="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9512EC">
              <w:rPr>
                <w:sz w:val="20"/>
                <w:szCs w:val="20"/>
              </w:rPr>
              <w:t xml:space="preserve">non comporti la creazione di una nuova offerta; </w:t>
            </w:r>
          </w:p>
          <w:p w14:paraId="23033D63" w14:textId="77777777" w:rsidR="0031530E" w:rsidRPr="009512EC" w:rsidRDefault="0031530E" w:rsidP="00834A5D">
            <w:pPr>
              <w:pStyle w:val="Paragrafoelenco"/>
              <w:numPr>
                <w:ilvl w:val="0"/>
                <w:numId w:val="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9512EC">
              <w:rPr>
                <w:sz w:val="20"/>
                <w:szCs w:val="20"/>
              </w:rPr>
              <w:t xml:space="preserve">non comporti la modifica sostanziale dell’offerta; </w:t>
            </w:r>
          </w:p>
          <w:p w14:paraId="4E56C8B2" w14:textId="77777777" w:rsidR="0031530E" w:rsidRPr="009512EC" w:rsidRDefault="0031530E" w:rsidP="00834A5D">
            <w:pPr>
              <w:pStyle w:val="Paragrafoelenco"/>
              <w:numPr>
                <w:ilvl w:val="0"/>
                <w:numId w:val="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9512EC">
              <w:rPr>
                <w:sz w:val="20"/>
                <w:szCs w:val="20"/>
              </w:rPr>
              <w:t>resti assicurato l’anonimato.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25E244F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101 del D.Lgs. n. 36/2023.</w:t>
            </w:r>
          </w:p>
        </w:tc>
      </w:tr>
      <w:tr w:rsidR="0031530E" w:rsidRPr="00F275AA" w14:paraId="55A6D38F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BF30C2E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lastRenderedPageBreak/>
              <w:t>Garanzie per la partecipazione alla procedura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271049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articolo 106, comma 1, del Codice</w:t>
            </w:r>
            <w:r>
              <w:rPr>
                <w:sz w:val="20"/>
                <w:szCs w:val="20"/>
              </w:rPr>
              <w:t>,</w:t>
            </w:r>
            <w:r w:rsidRPr="006E65FC">
              <w:rPr>
                <w:sz w:val="20"/>
                <w:szCs w:val="20"/>
              </w:rPr>
              <w:t xml:space="preserve"> non rapporta 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importo della garanzia al prezzo base indicato nel bando o nell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invito, bensì al </w:t>
            </w:r>
            <w:r w:rsidRPr="00A4244C">
              <w:rPr>
                <w:b/>
                <w:bCs/>
                <w:sz w:val="20"/>
                <w:szCs w:val="20"/>
              </w:rPr>
              <w:t>valore complessivo della procedura</w:t>
            </w:r>
            <w:r w:rsidRPr="006E65FC">
              <w:rPr>
                <w:sz w:val="20"/>
                <w:szCs w:val="20"/>
              </w:rPr>
              <w:t xml:space="preserve"> (comprensivo, dunque, di eventuali opzioni e rinnovi).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A8969C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106 del D.Lgs. n. 36/2023.</w:t>
            </w:r>
          </w:p>
        </w:tc>
      </w:tr>
      <w:tr w:rsidR="0031530E" w:rsidRPr="009512EC" w14:paraId="2BADEDB0" w14:textId="77777777" w:rsidTr="00834A5D">
        <w:trPr>
          <w:trHeight w:val="537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C0EFC92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Termini di conclusione dell</w:t>
            </w:r>
            <w:r>
              <w:rPr>
                <w:b/>
                <w:bCs/>
                <w:sz w:val="20"/>
                <w:szCs w:val="20"/>
              </w:rPr>
              <w:t>’a</w:t>
            </w:r>
            <w:r w:rsidRPr="006E65FC">
              <w:rPr>
                <w:b/>
                <w:bCs/>
                <w:sz w:val="20"/>
                <w:szCs w:val="20"/>
              </w:rPr>
              <w:t>ffidamento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FC7542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Modifica dei</w:t>
            </w:r>
            <w:r w:rsidRPr="006E65FC">
              <w:rPr>
                <w:sz w:val="20"/>
                <w:szCs w:val="20"/>
              </w:rPr>
              <w:t xml:space="preserve"> termini di conclusione delle singole procedure e nello specifico: </w:t>
            </w:r>
          </w:p>
          <w:p w14:paraId="212B4782" w14:textId="77777777" w:rsidR="0031530E" w:rsidRPr="006E65FC" w:rsidRDefault="0031530E" w:rsidP="00834A5D">
            <w:pPr>
              <w:pStyle w:val="Paragrafoelenco"/>
              <w:numPr>
                <w:ilvl w:val="1"/>
                <w:numId w:val="8"/>
              </w:numPr>
              <w:spacing w:before="60"/>
              <w:ind w:left="717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con riferimento alle procedure da aggiudicare con il </w:t>
            </w:r>
            <w:r w:rsidRPr="009512EC">
              <w:rPr>
                <w:b/>
                <w:bCs/>
                <w:sz w:val="20"/>
                <w:szCs w:val="20"/>
              </w:rPr>
              <w:t>criterio del miglior rapporto qualità prezzo</w:t>
            </w:r>
            <w:r w:rsidRPr="006E65FC">
              <w:rPr>
                <w:sz w:val="20"/>
                <w:szCs w:val="20"/>
              </w:rPr>
              <w:t xml:space="preserve">: </w:t>
            </w:r>
          </w:p>
          <w:p w14:paraId="14631A99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procedura</w:t>
            </w: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aperta: nove mesi;</w:t>
            </w:r>
          </w:p>
          <w:p w14:paraId="3900274A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procedura ristretta: dieci mesi;</w:t>
            </w:r>
          </w:p>
          <w:p w14:paraId="55F01534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procedura competitiva con negoziazione: sette mesi; </w:t>
            </w:r>
          </w:p>
          <w:p w14:paraId="766A4521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procedura negoziata senza previa pubblicazione di un bando di gara: quattro mesi;</w:t>
            </w:r>
          </w:p>
          <w:p w14:paraId="65EAE9A3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dialogo competitivo: sette mesi;</w:t>
            </w:r>
          </w:p>
          <w:p w14:paraId="00120CBA" w14:textId="77777777" w:rsidR="0031530E" w:rsidRPr="006E65FC" w:rsidRDefault="0031530E" w:rsidP="00834A5D">
            <w:pPr>
              <w:pStyle w:val="Paragrafoelenco"/>
              <w:numPr>
                <w:ilvl w:val="0"/>
                <w:numId w:val="9"/>
              </w:numPr>
              <w:spacing w:before="60" w:after="60"/>
              <w:ind w:left="1142" w:hanging="425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partenariato per 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’</w:t>
            </w: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innovazione: nove mesi.</w:t>
            </w:r>
          </w:p>
          <w:p w14:paraId="4F7EEE5F" w14:textId="77777777" w:rsidR="0031530E" w:rsidRPr="006E65FC" w:rsidRDefault="0031530E" w:rsidP="00834A5D">
            <w:pPr>
              <w:pStyle w:val="Paragrafoelenco"/>
              <w:numPr>
                <w:ilvl w:val="1"/>
                <w:numId w:val="8"/>
              </w:numPr>
              <w:spacing w:before="60"/>
              <w:ind w:left="717" w:hanging="28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con</w:t>
            </w: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riferimento alle procedure di gara condotte secondo il </w:t>
            </w:r>
            <w:r w:rsidRPr="009512E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criterio del minor prezzo</w:t>
            </w: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538B9232" w14:textId="77777777" w:rsidR="0031530E" w:rsidRPr="006E65FC" w:rsidRDefault="0031530E" w:rsidP="00834A5D">
            <w:pPr>
              <w:pStyle w:val="Paragrafoelenco"/>
              <w:numPr>
                <w:ilvl w:val="0"/>
                <w:numId w:val="10"/>
              </w:numPr>
              <w:spacing w:before="60" w:after="60"/>
              <w:ind w:left="1142" w:hanging="425"/>
              <w:contextualSpacing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procedura aperta: cinque mesi;</w:t>
            </w:r>
          </w:p>
          <w:p w14:paraId="2C746DEB" w14:textId="77777777" w:rsidR="0031530E" w:rsidRPr="006E65FC" w:rsidRDefault="0031530E" w:rsidP="00834A5D">
            <w:pPr>
              <w:pStyle w:val="Paragrafoelenco"/>
              <w:numPr>
                <w:ilvl w:val="0"/>
                <w:numId w:val="10"/>
              </w:numPr>
              <w:spacing w:before="60" w:after="60"/>
              <w:ind w:left="1142" w:hanging="425"/>
              <w:contextualSpacing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procedura ristretta: sei mesi; </w:t>
            </w:r>
          </w:p>
          <w:p w14:paraId="09A99D7A" w14:textId="77777777" w:rsidR="0031530E" w:rsidRPr="006E65FC" w:rsidRDefault="0031530E" w:rsidP="00834A5D">
            <w:pPr>
              <w:pStyle w:val="Paragrafoelenco"/>
              <w:numPr>
                <w:ilvl w:val="0"/>
                <w:numId w:val="10"/>
              </w:numPr>
              <w:spacing w:before="60" w:after="60"/>
              <w:ind w:left="1142" w:hanging="425"/>
              <w:contextualSpacing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procedura competitiva con negoziazione: quattro mesi;</w:t>
            </w:r>
          </w:p>
          <w:p w14:paraId="4B0B0146" w14:textId="77777777" w:rsidR="0031530E" w:rsidRPr="006E65FC" w:rsidRDefault="0031530E" w:rsidP="00834A5D">
            <w:pPr>
              <w:pStyle w:val="Paragrafoelenco"/>
              <w:numPr>
                <w:ilvl w:val="0"/>
                <w:numId w:val="10"/>
              </w:numPr>
              <w:shd w:val="clear" w:color="auto" w:fill="DEEAF6" w:themeFill="accent5" w:themeFillTint="33"/>
              <w:spacing w:before="60" w:after="60"/>
              <w:ind w:left="1142" w:hanging="425"/>
              <w:contextualSpacing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E65FC">
              <w:rPr>
                <w:rFonts w:ascii="Calibri" w:hAnsi="Calibri" w:cs="Calibri"/>
                <w:color w:val="000000"/>
                <w:sz w:val="20"/>
                <w:szCs w:val="20"/>
              </w:rPr>
              <w:t>procedura negoziata senza previa pubblicazione di un bando di gara: tre mesi.</w:t>
            </w:r>
          </w:p>
          <w:p w14:paraId="003CBDDD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Il </w:t>
            </w:r>
            <w:r w:rsidRPr="00A4244C">
              <w:rPr>
                <w:b/>
                <w:bCs/>
                <w:sz w:val="20"/>
                <w:szCs w:val="20"/>
              </w:rPr>
              <w:t>superamento dei termini costituisce silenzio inadempimento</w:t>
            </w:r>
            <w:r w:rsidRPr="006E65FC">
              <w:rPr>
                <w:sz w:val="20"/>
                <w:szCs w:val="20"/>
              </w:rPr>
              <w:t xml:space="preserve"> e rileva anche al fine della verifica del rispetto del dovere di buona fede, anche in pendenza di contenzioso;</w:t>
            </w:r>
          </w:p>
          <w:p w14:paraId="354C7C2F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I termini decorrono dalla pubblicazione del bando di gara o dall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invio degli inviti a offrire, fino 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aggiudicazione alla miglior offerta, e non possono essere sospesi neanche in pendenza di contenzioso sulla procedura se non a seguito di provvedimento cautelare del giudice amministrativo;</w:t>
            </w:r>
          </w:p>
          <w:p w14:paraId="5244FA0E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Ove la </w:t>
            </w:r>
            <w:r>
              <w:rPr>
                <w:sz w:val="20"/>
                <w:szCs w:val="20"/>
              </w:rPr>
              <w:t>S</w:t>
            </w:r>
            <w:r w:rsidRPr="006E65FC">
              <w:rPr>
                <w:sz w:val="20"/>
                <w:szCs w:val="20"/>
              </w:rPr>
              <w:t xml:space="preserve">tazione </w:t>
            </w:r>
            <w:r>
              <w:rPr>
                <w:sz w:val="20"/>
                <w:szCs w:val="20"/>
              </w:rPr>
              <w:t>A</w:t>
            </w:r>
            <w:r w:rsidRPr="006E65FC">
              <w:rPr>
                <w:sz w:val="20"/>
                <w:szCs w:val="20"/>
              </w:rPr>
              <w:t xml:space="preserve">ppaltante debba effettuare la </w:t>
            </w:r>
            <w:r w:rsidRPr="00A4244C">
              <w:rPr>
                <w:b/>
                <w:bCs/>
                <w:sz w:val="20"/>
                <w:szCs w:val="20"/>
              </w:rPr>
              <w:t>procedura di verifica dell’anomalia</w:t>
            </w:r>
            <w:r w:rsidRPr="006E65FC">
              <w:rPr>
                <w:sz w:val="20"/>
                <w:szCs w:val="20"/>
              </w:rPr>
              <w:t>, i termini di cui all</w:t>
            </w:r>
            <w:r>
              <w:rPr>
                <w:sz w:val="20"/>
                <w:szCs w:val="20"/>
              </w:rPr>
              <w:t>’A</w:t>
            </w:r>
            <w:r w:rsidRPr="006E65FC">
              <w:rPr>
                <w:sz w:val="20"/>
                <w:szCs w:val="20"/>
              </w:rPr>
              <w:t xml:space="preserve">llegato I.3 </w:t>
            </w:r>
            <w:r w:rsidRPr="00A4244C">
              <w:rPr>
                <w:b/>
                <w:bCs/>
                <w:sz w:val="20"/>
                <w:szCs w:val="20"/>
              </w:rPr>
              <w:t>sono prorogati per il periodo massimo di un mese</w:t>
            </w:r>
            <w:r w:rsidRPr="006E65FC">
              <w:rPr>
                <w:sz w:val="20"/>
                <w:szCs w:val="20"/>
              </w:rPr>
              <w:t>.</w:t>
            </w:r>
          </w:p>
          <w:p w14:paraId="3B39D14A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In presenza di circostanze eccezionali il RUP, con proprio atto motivato, può prorogare i termini suddetti per un massimo di tre mesi. In presenza di ulteriori situazioni imprevedibili di oggettiva difficoltà </w:t>
            </w:r>
            <w:r>
              <w:rPr>
                <w:sz w:val="20"/>
                <w:szCs w:val="20"/>
              </w:rPr>
              <w:t>il</w:t>
            </w:r>
            <w:r w:rsidRPr="006E65FC">
              <w:rPr>
                <w:sz w:val="20"/>
                <w:szCs w:val="20"/>
              </w:rPr>
              <w:t xml:space="preserve"> RUP, con proprio atto motivato, può prorogare i termini suddetti per ulteriori tre mesi.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41ED46F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 xml:space="preserve">Art. 17 del D.Lgs. n. 36/2023; </w:t>
            </w:r>
          </w:p>
          <w:p w14:paraId="1DC863EB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5B5931">
              <w:rPr>
                <w:sz w:val="20"/>
                <w:szCs w:val="20"/>
              </w:rPr>
              <w:t>Allegato I.3 al D.Lgs. n. 36/2023.</w:t>
            </w:r>
          </w:p>
        </w:tc>
      </w:tr>
      <w:tr w:rsidR="0031530E" w:rsidRPr="009512EC" w14:paraId="71BBBA1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A843F12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Aggiudicazione e sottoscrizione del contratto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E746FFA" w14:textId="77777777" w:rsidR="0031530E" w:rsidRPr="00785495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785495">
              <w:rPr>
                <w:sz w:val="20"/>
                <w:szCs w:val="20"/>
              </w:rPr>
              <w:t>Adozione dell</w:t>
            </w:r>
            <w:r>
              <w:rPr>
                <w:sz w:val="20"/>
                <w:szCs w:val="20"/>
              </w:rPr>
              <w:t>’</w:t>
            </w:r>
            <w:r w:rsidRPr="00785495">
              <w:rPr>
                <w:sz w:val="20"/>
                <w:szCs w:val="20"/>
              </w:rPr>
              <w:t xml:space="preserve">aggiudicazione (immediatamente efficace) </w:t>
            </w:r>
            <w:r w:rsidRPr="00785495">
              <w:rPr>
                <w:b/>
                <w:bCs/>
                <w:sz w:val="20"/>
                <w:szCs w:val="20"/>
              </w:rPr>
              <w:t>solo dopo aver verificato il possesso dei requisiti in capo all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785495">
              <w:rPr>
                <w:b/>
                <w:bCs/>
                <w:sz w:val="20"/>
                <w:szCs w:val="20"/>
              </w:rPr>
              <w:t>offerente</w:t>
            </w:r>
            <w:r w:rsidRPr="00785495">
              <w:rPr>
                <w:sz w:val="20"/>
                <w:szCs w:val="20"/>
              </w:rPr>
              <w:t>;</w:t>
            </w:r>
          </w:p>
          <w:p w14:paraId="63F8ACE0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S</w:t>
            </w:r>
            <w:r w:rsidRPr="00785495">
              <w:rPr>
                <w:sz w:val="20"/>
                <w:szCs w:val="20"/>
              </w:rPr>
              <w:t xml:space="preserve">ottoscrizione del contratto sottoposta a condizione risolutiva in caso di esito negativo </w:t>
            </w:r>
            <w:r w:rsidRPr="00785495">
              <w:rPr>
                <w:sz w:val="20"/>
                <w:szCs w:val="20"/>
              </w:rPr>
              <w:lastRenderedPageBreak/>
              <w:t>della sua approvazione, laddove prevista, da effettuarsi entro trenta giorni dalla stipula (</w:t>
            </w:r>
            <w:r w:rsidRPr="00785495">
              <w:rPr>
                <w:b/>
                <w:bCs/>
                <w:sz w:val="20"/>
                <w:szCs w:val="20"/>
              </w:rPr>
              <w:t>decorso tale termine, il contratto si intende approvato</w:t>
            </w:r>
            <w:r w:rsidRPr="00785495">
              <w:rPr>
                <w:sz w:val="20"/>
                <w:szCs w:val="20"/>
              </w:rPr>
              <w:t>);</w:t>
            </w:r>
          </w:p>
          <w:p w14:paraId="560CEC29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La stipula del contratto deve avvenire entro 30 giorni </w:t>
            </w:r>
            <w:r w:rsidRPr="006E65FC">
              <w:rPr>
                <w:b/>
                <w:bCs/>
                <w:sz w:val="20"/>
                <w:szCs w:val="20"/>
              </w:rPr>
              <w:t>per i contratti sotto-soglia</w:t>
            </w:r>
            <w:r w:rsidRPr="006E65FC">
              <w:rPr>
                <w:sz w:val="20"/>
                <w:szCs w:val="20"/>
              </w:rPr>
              <w:t xml:space="preserve"> dall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efficacia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aggiudicazione anche in pendenza di contenzioso. La mancata o tardiva stipula del contratto al di fuori delle ipotesi previste, costituisce violazione del dovere di buona fede;</w:t>
            </w:r>
          </w:p>
          <w:p w14:paraId="48CCB21E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N</w:t>
            </w:r>
            <w:r w:rsidRPr="00785495">
              <w:rPr>
                <w:sz w:val="20"/>
                <w:szCs w:val="20"/>
              </w:rPr>
              <w:t xml:space="preserve">uova disciplina in materia di </w:t>
            </w:r>
            <w:r w:rsidRPr="00A008BD">
              <w:rPr>
                <w:b/>
                <w:bCs/>
                <w:sz w:val="20"/>
                <w:szCs w:val="20"/>
              </w:rPr>
              <w:t>imposta di bollo</w:t>
            </w:r>
            <w:r w:rsidRPr="00785495">
              <w:rPr>
                <w:sz w:val="20"/>
                <w:szCs w:val="20"/>
              </w:rPr>
              <w:t xml:space="preserve"> (assolta da appaltatore al momento della stipula del contratto e in proporzione al valore dello stesso), contenuta nell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</w:t>
            </w:r>
            <w:r w:rsidRPr="00785495">
              <w:rPr>
                <w:sz w:val="20"/>
                <w:szCs w:val="20"/>
              </w:rPr>
              <w:t>llegato I.4.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FD9FED7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lastRenderedPageBreak/>
              <w:t xml:space="preserve">Art. 18 del D.Lgs. n. 36/2023; </w:t>
            </w:r>
          </w:p>
          <w:p w14:paraId="1912650F" w14:textId="77777777" w:rsidR="0031530E" w:rsidRPr="009512E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5B5931">
              <w:rPr>
                <w:sz w:val="20"/>
                <w:szCs w:val="20"/>
              </w:rPr>
              <w:t>Allegato I.4 al D.Lgs. n. 36/2023.</w:t>
            </w:r>
          </w:p>
        </w:tc>
      </w:tr>
      <w:tr w:rsidR="0031530E" w:rsidRPr="00F275AA" w14:paraId="63043375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FB776DA" w14:textId="77777777" w:rsidR="0031530E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Garanzi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6E65FC">
              <w:rPr>
                <w:b/>
                <w:bCs/>
                <w:sz w:val="20"/>
                <w:szCs w:val="20"/>
              </w:rPr>
              <w:t xml:space="preserve"> </w:t>
            </w:r>
            <w:r w:rsidRPr="00734DBF">
              <w:rPr>
                <w:b/>
                <w:bCs/>
                <w:sz w:val="20"/>
                <w:szCs w:val="20"/>
              </w:rPr>
              <w:t>definitiva nei contratti sopra-soglia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C5739E6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Previsione della</w:t>
            </w:r>
            <w:r w:rsidRPr="006E65FC">
              <w:rPr>
                <w:sz w:val="20"/>
                <w:szCs w:val="20"/>
              </w:rPr>
              <w:t xml:space="preserve"> </w:t>
            </w:r>
            <w:r w:rsidRPr="00F86DA9">
              <w:rPr>
                <w:b/>
                <w:bCs/>
                <w:sz w:val="20"/>
                <w:szCs w:val="20"/>
              </w:rPr>
              <w:t>garanzia definitiva per gli accordi-quadro</w:t>
            </w:r>
            <w:r w:rsidRPr="006E65FC">
              <w:rPr>
                <w:sz w:val="20"/>
                <w:szCs w:val="20"/>
              </w:rPr>
              <w:t xml:space="preserve">, mancante nel </w:t>
            </w:r>
            <w:r>
              <w:rPr>
                <w:sz w:val="20"/>
                <w:szCs w:val="20"/>
              </w:rPr>
              <w:t xml:space="preserve">D.Lgs. n. </w:t>
            </w:r>
            <w:r w:rsidRPr="006E65FC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/2016</w:t>
            </w:r>
            <w:r w:rsidRPr="006E65FC">
              <w:rPr>
                <w:sz w:val="20"/>
                <w:szCs w:val="20"/>
              </w:rPr>
              <w:t>, che viene prevista nella misura non superiore al 2%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importo dell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>accordo quadro</w:t>
            </w:r>
            <w:r>
              <w:rPr>
                <w:sz w:val="20"/>
                <w:szCs w:val="20"/>
              </w:rPr>
              <w:t>;</w:t>
            </w:r>
          </w:p>
          <w:p w14:paraId="195508F2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Consentito</w:t>
            </w:r>
            <w:r w:rsidRPr="006E65FC">
              <w:rPr>
                <w:sz w:val="20"/>
                <w:szCs w:val="20"/>
              </w:rPr>
              <w:t xml:space="preserve"> l</w:t>
            </w:r>
            <w:r>
              <w:rPr>
                <w:sz w:val="20"/>
                <w:szCs w:val="20"/>
              </w:rPr>
              <w:t>’</w:t>
            </w:r>
            <w:r w:rsidRPr="00A008BD">
              <w:rPr>
                <w:b/>
                <w:bCs/>
                <w:sz w:val="20"/>
                <w:szCs w:val="20"/>
              </w:rPr>
              <w:t>esonero dalla prestazione di garanzia</w:t>
            </w:r>
            <w:r w:rsidRPr="006E65FC">
              <w:rPr>
                <w:sz w:val="20"/>
                <w:szCs w:val="20"/>
              </w:rPr>
              <w:t xml:space="preserve"> non solo in subordine ad un miglioramento del prezzo di aggiudicazione ma anche ad un miglioramento delle condizioni di esecuzione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E44DDF7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117 del D.Lgs. n. 36/2023.</w:t>
            </w:r>
          </w:p>
        </w:tc>
      </w:tr>
      <w:tr w:rsidR="0031530E" w:rsidRPr="00F275AA" w14:paraId="12C2C9FB" w14:textId="77777777" w:rsidTr="00834A5D">
        <w:trPr>
          <w:trHeight w:val="394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336EA8B" w14:textId="77777777" w:rsidR="0031530E" w:rsidRPr="00734DBF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734DBF">
              <w:rPr>
                <w:b/>
                <w:bCs/>
                <w:sz w:val="20"/>
                <w:szCs w:val="20"/>
              </w:rPr>
              <w:t>Modifiche del contratto in corso di esecuzione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CD0A492" w14:textId="77777777" w:rsidR="0031530E" w:rsidRPr="00E84C54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Inserita </w:t>
            </w:r>
            <w:r w:rsidRPr="00734DBF">
              <w:rPr>
                <w:sz w:val="20"/>
                <w:szCs w:val="20"/>
                <w:shd w:val="clear" w:color="auto" w:fill="DEEAF6" w:themeFill="accent5" w:themeFillTint="33"/>
              </w:rPr>
              <w:t xml:space="preserve">la previsione per cui </w:t>
            </w:r>
            <w:r w:rsidRPr="00734DBF">
              <w:rPr>
                <w:b/>
                <w:bCs/>
                <w:sz w:val="20"/>
                <w:szCs w:val="20"/>
                <w:shd w:val="clear" w:color="auto" w:fill="DEEAF6" w:themeFill="accent5" w:themeFillTint="33"/>
              </w:rPr>
              <w:t>nei documenti di gara iniziali</w:t>
            </w:r>
            <w:r w:rsidRPr="00734DBF">
              <w:rPr>
                <w:sz w:val="20"/>
                <w:szCs w:val="20"/>
                <w:shd w:val="clear" w:color="auto" w:fill="DEEAF6" w:themeFill="accent5" w:themeFillTint="33"/>
              </w:rPr>
              <w:t xml:space="preserve"> deve essere stabilito che, qualora in corso di esecuzione si renda necessario </w:t>
            </w:r>
            <w:r w:rsidRPr="00734DBF">
              <w:rPr>
                <w:b/>
                <w:bCs/>
                <w:sz w:val="20"/>
                <w:szCs w:val="20"/>
                <w:shd w:val="clear" w:color="auto" w:fill="DEEAF6" w:themeFill="accent5" w:themeFillTint="33"/>
              </w:rPr>
              <w:t>un aumento o una diminuzione delle prestazioni fino a concorrenza del quinto</w:t>
            </w:r>
            <w:r w:rsidRPr="00734DBF">
              <w:rPr>
                <w:sz w:val="20"/>
                <w:szCs w:val="20"/>
                <w:shd w:val="clear" w:color="auto" w:fill="DEEAF6" w:themeFill="accent5" w:themeFillTint="33"/>
              </w:rPr>
              <w:t xml:space="preserve"> dell’importo del contratto, la Stazione Appaltante possa imporre all’appaltatore l’esecuzione alle condizioni originariamente previste. In tal caso l’appaltatore non può fare valere il diritto alla risoluzione del contratto;</w:t>
            </w:r>
          </w:p>
          <w:p w14:paraId="4B465938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DEEAF6" w:themeFill="accent5" w:themeFillTint="33"/>
              </w:rPr>
              <w:t xml:space="preserve">L’importo del quinto d’obbligo dovrà essere </w:t>
            </w:r>
            <w:r w:rsidRPr="00A008BD">
              <w:rPr>
                <w:b/>
                <w:bCs/>
                <w:sz w:val="20"/>
                <w:szCs w:val="20"/>
                <w:shd w:val="clear" w:color="auto" w:fill="DEEAF6" w:themeFill="accent5" w:themeFillTint="33"/>
              </w:rPr>
              <w:t xml:space="preserve">quantificato </w:t>
            </w:r>
            <w:r>
              <w:rPr>
                <w:sz w:val="20"/>
                <w:szCs w:val="20"/>
                <w:shd w:val="clear" w:color="auto" w:fill="DEEAF6" w:themeFill="accent5" w:themeFillTint="33"/>
              </w:rPr>
              <w:t>negli atti di gara e inserito nel valore complessivo dell’appalto (Bando ANAC 1/2023);</w:t>
            </w:r>
          </w:p>
          <w:p w14:paraId="64D98D90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4A3AD9">
              <w:rPr>
                <w:b/>
                <w:bCs/>
                <w:sz w:val="20"/>
                <w:szCs w:val="20"/>
              </w:rPr>
              <w:t>istinzione tra opzione di proroga</w:t>
            </w:r>
            <w:r w:rsidRPr="006E65FC">
              <w:rPr>
                <w:sz w:val="20"/>
                <w:szCs w:val="20"/>
              </w:rPr>
              <w:t xml:space="preserve">, per la quale, ove prevista nel bando e nei documenti di gara iniziali, il contraente originario è tenuto a eseguire le prestazioni contrattuali - ai prezzi, patti e condizioni stabiliti nel contratto o, se previsto nei documenti di gara, alle condizioni di mercato ove più favorevoli per la </w:t>
            </w:r>
            <w:r>
              <w:rPr>
                <w:sz w:val="20"/>
                <w:szCs w:val="20"/>
              </w:rPr>
              <w:t>S</w:t>
            </w:r>
            <w:r w:rsidRPr="006E65FC">
              <w:rPr>
                <w:sz w:val="20"/>
                <w:szCs w:val="20"/>
              </w:rPr>
              <w:t xml:space="preserve">tazione </w:t>
            </w:r>
            <w:r>
              <w:rPr>
                <w:sz w:val="20"/>
                <w:szCs w:val="20"/>
              </w:rPr>
              <w:t>A</w:t>
            </w:r>
            <w:r w:rsidRPr="006E65FC">
              <w:rPr>
                <w:sz w:val="20"/>
                <w:szCs w:val="20"/>
              </w:rPr>
              <w:t xml:space="preserve">ppaltante - indipendentemente dal </w:t>
            </w:r>
            <w:r>
              <w:rPr>
                <w:sz w:val="20"/>
                <w:szCs w:val="20"/>
              </w:rPr>
              <w:t>«</w:t>
            </w:r>
            <w:r w:rsidRPr="006E65FC">
              <w:rPr>
                <w:i/>
                <w:iCs/>
                <w:sz w:val="20"/>
                <w:szCs w:val="20"/>
              </w:rPr>
              <w:t>tempo strettamente necessario alla conclusione delle procedure necessarie per l</w:t>
            </w:r>
            <w:r>
              <w:rPr>
                <w:i/>
                <w:iCs/>
                <w:sz w:val="20"/>
                <w:szCs w:val="20"/>
              </w:rPr>
              <w:t>’</w:t>
            </w:r>
            <w:r w:rsidRPr="006E65FC">
              <w:rPr>
                <w:i/>
                <w:iCs/>
                <w:sz w:val="20"/>
                <w:szCs w:val="20"/>
              </w:rPr>
              <w:t>individuazione di un nuovo contraente</w:t>
            </w:r>
            <w:r>
              <w:rPr>
                <w:sz w:val="20"/>
                <w:szCs w:val="20"/>
              </w:rPr>
              <w:t>»</w:t>
            </w:r>
            <w:r w:rsidRPr="006E65FC">
              <w:rPr>
                <w:sz w:val="20"/>
                <w:szCs w:val="20"/>
              </w:rPr>
              <w:t xml:space="preserve">, </w:t>
            </w:r>
            <w:r w:rsidRPr="004A3AD9">
              <w:rPr>
                <w:b/>
                <w:bCs/>
                <w:sz w:val="20"/>
                <w:szCs w:val="20"/>
              </w:rPr>
              <w:t>dalla proroga (tecnica)</w:t>
            </w:r>
            <w:r w:rsidRPr="006E65FC">
              <w:rPr>
                <w:sz w:val="20"/>
                <w:szCs w:val="20"/>
              </w:rPr>
              <w:t xml:space="preserve"> per </w:t>
            </w:r>
            <w:r>
              <w:rPr>
                <w:sz w:val="20"/>
                <w:szCs w:val="20"/>
              </w:rPr>
              <w:t>«</w:t>
            </w:r>
            <w:r w:rsidRPr="006E65FC">
              <w:rPr>
                <w:i/>
                <w:iCs/>
                <w:sz w:val="20"/>
                <w:szCs w:val="20"/>
              </w:rPr>
              <w:t>casi eccezionali nei quali risultino oggettivi e insuperabili ritardi nella conclusione della procedura di affidamento del contratto</w:t>
            </w:r>
            <w:r>
              <w:rPr>
                <w:sz w:val="20"/>
                <w:szCs w:val="20"/>
              </w:rPr>
              <w:t>»</w:t>
            </w:r>
            <w:r w:rsidRPr="006E65FC"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918AD73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120 del D.Lgs. n. 36/2023.</w:t>
            </w:r>
          </w:p>
        </w:tc>
      </w:tr>
      <w:tr w:rsidR="0031530E" w:rsidRPr="00F275AA" w14:paraId="651FF7E6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5CB544F" w14:textId="77777777" w:rsidR="0031530E" w:rsidRPr="00734DBF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Accordi di Cooperazione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46E4864" w14:textId="77777777" w:rsidR="0031530E" w:rsidRPr="00785495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785495">
              <w:rPr>
                <w:b/>
                <w:bCs/>
                <w:sz w:val="20"/>
                <w:szCs w:val="20"/>
              </w:rPr>
              <w:t xml:space="preserve">Necessità di ottica collaborativa e assenza </w:t>
            </w:r>
            <w:r w:rsidRPr="00785495">
              <w:rPr>
                <w:sz w:val="20"/>
                <w:szCs w:val="20"/>
              </w:rPr>
              <w:t xml:space="preserve">di un </w:t>
            </w:r>
            <w:r w:rsidRPr="00785495">
              <w:rPr>
                <w:b/>
                <w:bCs/>
                <w:sz w:val="20"/>
                <w:szCs w:val="20"/>
              </w:rPr>
              <w:t>sinallagma</w:t>
            </w:r>
            <w:r w:rsidRPr="00785495">
              <w:rPr>
                <w:sz w:val="20"/>
                <w:szCs w:val="20"/>
              </w:rPr>
              <w:t xml:space="preserve"> tra prestazioni;</w:t>
            </w:r>
          </w:p>
          <w:p w14:paraId="45DC2189" w14:textId="77777777" w:rsidR="0031530E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C</w:t>
            </w:r>
            <w:r w:rsidRPr="00785495">
              <w:rPr>
                <w:b/>
                <w:bCs/>
                <w:sz w:val="20"/>
                <w:szCs w:val="20"/>
              </w:rPr>
              <w:t xml:space="preserve">onvergenza sinergica </w:t>
            </w:r>
            <w:r w:rsidRPr="00785495">
              <w:rPr>
                <w:sz w:val="20"/>
                <w:szCs w:val="20"/>
              </w:rPr>
              <w:t>su attività di interesse comune (accordo non deve realizzare la missione istituzionale di una sola delle amministrazioni aderenti).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8FF4C54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7 del D.Lgs. n. 36/2023.</w:t>
            </w:r>
          </w:p>
        </w:tc>
      </w:tr>
      <w:tr w:rsidR="0031530E" w:rsidRPr="00F275AA" w14:paraId="3E29DDDD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676140A" w14:textId="77777777" w:rsidR="0031530E" w:rsidRPr="00734DBF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E65FC">
              <w:rPr>
                <w:b/>
                <w:bCs/>
                <w:sz w:val="20"/>
                <w:szCs w:val="20"/>
              </w:rPr>
              <w:lastRenderedPageBreak/>
              <w:t>Contratti a titolo gratuito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AEB832C" w14:textId="77777777" w:rsidR="0031530E" w:rsidRPr="00394454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785495">
              <w:rPr>
                <w:sz w:val="20"/>
                <w:szCs w:val="20"/>
              </w:rPr>
              <w:t xml:space="preserve">Possibilità di concludere </w:t>
            </w:r>
            <w:r w:rsidRPr="00A008BD">
              <w:rPr>
                <w:b/>
                <w:bCs/>
                <w:sz w:val="20"/>
                <w:szCs w:val="20"/>
              </w:rPr>
              <w:t>contratti a titolo gratuito</w:t>
            </w:r>
            <w:r w:rsidRPr="00785495">
              <w:rPr>
                <w:sz w:val="20"/>
                <w:szCs w:val="20"/>
              </w:rPr>
              <w:t>, salvi alcuni divieti previsti dal Codice</w:t>
            </w:r>
            <w:r>
              <w:rPr>
                <w:sz w:val="20"/>
                <w:szCs w:val="20"/>
              </w:rPr>
              <w:t xml:space="preserve">. </w:t>
            </w:r>
            <w:r w:rsidRPr="00394454">
              <w:rPr>
                <w:sz w:val="20"/>
                <w:szCs w:val="20"/>
              </w:rPr>
              <w:t>Tra i suddetti divieti, rientrano</w:t>
            </w:r>
            <w:r>
              <w:rPr>
                <w:sz w:val="20"/>
                <w:szCs w:val="20"/>
              </w:rPr>
              <w:t xml:space="preserve"> </w:t>
            </w:r>
            <w:r w:rsidRPr="00394454">
              <w:rPr>
                <w:sz w:val="20"/>
                <w:szCs w:val="20"/>
              </w:rPr>
              <w:t>le prestazioni d’opera intellettuale che non possono essere rese da professionisti gratuitamente, salvo casi eccezionali e previa stringente motivazione;</w:t>
            </w:r>
          </w:p>
          <w:p w14:paraId="48140A06" w14:textId="77777777" w:rsidR="0031530E" w:rsidRPr="00785495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>L</w:t>
            </w:r>
            <w:r w:rsidRPr="00785495">
              <w:rPr>
                <w:sz w:val="20"/>
                <w:szCs w:val="20"/>
              </w:rPr>
              <w:t xml:space="preserve">e disposizioni del Codice non si applicano ai contratti a titolo gratuito, anche qualora gli stessi offrano opportunità di guadagno economico, anche indiretto; </w:t>
            </w:r>
          </w:p>
          <w:p w14:paraId="43D15641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6E65FC">
              <w:rPr>
                <w:sz w:val="20"/>
                <w:szCs w:val="20"/>
              </w:rPr>
              <w:t>erma</w:t>
            </w:r>
            <w:r w:rsidRPr="00785495">
              <w:rPr>
                <w:sz w:val="20"/>
                <w:szCs w:val="20"/>
              </w:rPr>
              <w:t xml:space="preserve"> l</w:t>
            </w:r>
            <w:r>
              <w:rPr>
                <w:sz w:val="20"/>
                <w:szCs w:val="20"/>
              </w:rPr>
              <w:t>’</w:t>
            </w:r>
            <w:r w:rsidRPr="00785495">
              <w:rPr>
                <w:sz w:val="20"/>
                <w:szCs w:val="20"/>
              </w:rPr>
              <w:t>assenza dell</w:t>
            </w:r>
            <w:r>
              <w:rPr>
                <w:sz w:val="20"/>
                <w:szCs w:val="20"/>
              </w:rPr>
              <w:t>’</w:t>
            </w:r>
            <w:r w:rsidRPr="00785495">
              <w:rPr>
                <w:sz w:val="20"/>
                <w:szCs w:val="20"/>
              </w:rPr>
              <w:t xml:space="preserve">obbligo di gare, i </w:t>
            </w:r>
            <w:r w:rsidRPr="00A008BD">
              <w:rPr>
                <w:b/>
                <w:bCs/>
                <w:sz w:val="20"/>
                <w:szCs w:val="20"/>
              </w:rPr>
              <w:t>contratti gratuiti che offrono opportunità</w:t>
            </w:r>
            <w:r w:rsidRPr="00785495">
              <w:rPr>
                <w:sz w:val="20"/>
                <w:szCs w:val="20"/>
              </w:rPr>
              <w:t xml:space="preserve"> anche indiretta di </w:t>
            </w:r>
            <w:r w:rsidRPr="00A008BD">
              <w:rPr>
                <w:b/>
                <w:bCs/>
                <w:sz w:val="20"/>
                <w:szCs w:val="20"/>
              </w:rPr>
              <w:t>guadagno</w:t>
            </w:r>
            <w:r w:rsidRPr="00785495">
              <w:rPr>
                <w:sz w:val="20"/>
                <w:szCs w:val="20"/>
              </w:rPr>
              <w:t xml:space="preserve"> economico vengono </w:t>
            </w:r>
            <w:r w:rsidRPr="00A008BD">
              <w:rPr>
                <w:b/>
                <w:bCs/>
                <w:sz w:val="20"/>
                <w:szCs w:val="20"/>
              </w:rPr>
              <w:t>affidati tenendo conto dei principi di concorrenza, imparzialità, non discriminazione, pubblicità, trasparenza e proporzionalità</w:t>
            </w:r>
            <w:r w:rsidRPr="00785495"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0E6DFCB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8 del D.Lgs. n. 36/2023;</w:t>
            </w:r>
          </w:p>
          <w:p w14:paraId="442442F7" w14:textId="77777777" w:rsidR="0031530E" w:rsidRPr="006E65FC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13 del D.Lgs. n. 36/2023.</w:t>
            </w:r>
          </w:p>
        </w:tc>
      </w:tr>
      <w:tr w:rsidR="0031530E" w:rsidRPr="00F275AA" w14:paraId="4E3FB5E3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73142D8" w14:textId="77777777" w:rsidR="0031530E" w:rsidRPr="006E65FC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6E65FC">
              <w:rPr>
                <w:b/>
                <w:bCs/>
                <w:sz w:val="20"/>
                <w:szCs w:val="20"/>
              </w:rPr>
              <w:t>Appalto integrato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7DE5752" w14:textId="77777777" w:rsidR="0031530E" w:rsidRPr="00785495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Inserimento dello strumento </w:t>
            </w:r>
            <w:r w:rsidRPr="00A008BD">
              <w:rPr>
                <w:b/>
                <w:bCs/>
                <w:sz w:val="20"/>
                <w:szCs w:val="20"/>
              </w:rPr>
              <w:t>dell’appalto integrato</w:t>
            </w:r>
            <w:r w:rsidRPr="006E65FC">
              <w:rPr>
                <w:sz w:val="20"/>
                <w:szCs w:val="20"/>
              </w:rPr>
              <w:t xml:space="preserve"> di cui 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art. 1, comma 1, lett. b), </w:t>
            </w:r>
            <w:r>
              <w:rPr>
                <w:sz w:val="20"/>
                <w:szCs w:val="20"/>
              </w:rPr>
              <w:t>della L</w:t>
            </w:r>
            <w:r w:rsidRPr="006E65FC">
              <w:rPr>
                <w:sz w:val="20"/>
                <w:szCs w:val="20"/>
              </w:rPr>
              <w:t>egge n. 55</w:t>
            </w:r>
            <w:r>
              <w:rPr>
                <w:sz w:val="20"/>
                <w:szCs w:val="20"/>
              </w:rPr>
              <w:t>/</w:t>
            </w:r>
            <w:r w:rsidRPr="006E65FC">
              <w:rPr>
                <w:sz w:val="20"/>
                <w:szCs w:val="20"/>
              </w:rPr>
              <w:t>2019, come modificato dall</w:t>
            </w:r>
            <w:r>
              <w:rPr>
                <w:sz w:val="20"/>
                <w:szCs w:val="20"/>
              </w:rPr>
              <w:t>’</w:t>
            </w:r>
            <w:r w:rsidRPr="006E65FC">
              <w:rPr>
                <w:sz w:val="20"/>
                <w:szCs w:val="20"/>
              </w:rPr>
              <w:t xml:space="preserve">art. 8, comma 7, </w:t>
            </w:r>
            <w:r>
              <w:rPr>
                <w:sz w:val="20"/>
                <w:szCs w:val="20"/>
              </w:rPr>
              <w:t>L</w:t>
            </w:r>
            <w:r w:rsidRPr="006E65FC">
              <w:rPr>
                <w:sz w:val="20"/>
                <w:szCs w:val="20"/>
              </w:rPr>
              <w:t>egge n. 120</w:t>
            </w:r>
            <w:r>
              <w:rPr>
                <w:sz w:val="20"/>
                <w:szCs w:val="20"/>
              </w:rPr>
              <w:t>/</w:t>
            </w:r>
            <w:r w:rsidRPr="006E65FC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,</w:t>
            </w:r>
            <w:r w:rsidRPr="006E65FC">
              <w:rPr>
                <w:sz w:val="20"/>
                <w:szCs w:val="20"/>
              </w:rPr>
              <w:t xml:space="preserve"> con la sola eccezione per gli appalti di manutenzione ordinaria sprovvisti di progetto esecutivo.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C8D27C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pacing w:before="60" w:after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6E65FC">
              <w:rPr>
                <w:sz w:val="20"/>
                <w:szCs w:val="20"/>
                <w:lang w:val="en-US"/>
              </w:rPr>
              <w:t>Art. 44 del D.Lgs. n. 36/2023.</w:t>
            </w:r>
          </w:p>
        </w:tc>
      </w:tr>
      <w:tr w:rsidR="0031530E" w:rsidRPr="00734DBF" w14:paraId="05B9A8AA" w14:textId="77777777" w:rsidTr="00834A5D">
        <w:trPr>
          <w:trHeight w:val="840"/>
        </w:trPr>
        <w:tc>
          <w:tcPr>
            <w:tcW w:w="43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D31B34E" w14:textId="77777777" w:rsidR="0031530E" w:rsidRPr="00734DBF" w:rsidRDefault="0031530E" w:rsidP="00834A5D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E65FC">
              <w:rPr>
                <w:b/>
                <w:bCs/>
                <w:sz w:val="20"/>
                <w:szCs w:val="20"/>
              </w:rPr>
              <w:t>Incentivi alle funzioni tecniche</w:t>
            </w:r>
          </w:p>
        </w:tc>
        <w:tc>
          <w:tcPr>
            <w:tcW w:w="78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6B8C27A" w14:textId="77777777" w:rsidR="0031530E" w:rsidRPr="00A008BD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6E65FC">
              <w:rPr>
                <w:sz w:val="20"/>
                <w:szCs w:val="20"/>
              </w:rPr>
              <w:t xml:space="preserve">La </w:t>
            </w:r>
            <w:r w:rsidRPr="00A008BD">
              <w:rPr>
                <w:b/>
                <w:bCs/>
                <w:sz w:val="20"/>
                <w:szCs w:val="20"/>
              </w:rPr>
              <w:t>remunerazione delle attività tecniche</w:t>
            </w:r>
            <w:r w:rsidRPr="006E65FC">
              <w:rPr>
                <w:sz w:val="20"/>
                <w:szCs w:val="20"/>
              </w:rPr>
              <w:t xml:space="preserve"> è estesa a </w:t>
            </w:r>
            <w:r w:rsidRPr="00A008BD">
              <w:rPr>
                <w:b/>
                <w:bCs/>
                <w:sz w:val="20"/>
                <w:szCs w:val="20"/>
              </w:rPr>
              <w:t>tutte</w:t>
            </w:r>
            <w:r w:rsidRPr="006E65FC">
              <w:rPr>
                <w:sz w:val="20"/>
                <w:szCs w:val="20"/>
              </w:rPr>
              <w:t xml:space="preserve"> le procedure ivi incluse le </w:t>
            </w:r>
            <w:r w:rsidRPr="00A008BD">
              <w:rPr>
                <w:b/>
                <w:bCs/>
                <w:sz w:val="20"/>
                <w:szCs w:val="20"/>
              </w:rPr>
              <w:t>concessioni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9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909A800" w14:textId="77777777" w:rsidR="0031530E" w:rsidRPr="00B02810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  <w:lang w:val="en-US"/>
              </w:rPr>
            </w:pPr>
            <w:r w:rsidRPr="00B02810">
              <w:rPr>
                <w:sz w:val="20"/>
                <w:szCs w:val="20"/>
                <w:lang w:val="en-US"/>
              </w:rPr>
              <w:t xml:space="preserve">Art. 45 del D.Lgs. n. 36/2023; </w:t>
            </w:r>
          </w:p>
          <w:p w14:paraId="727ECE34" w14:textId="77777777" w:rsidR="0031530E" w:rsidRPr="00734DBF" w:rsidRDefault="0031530E" w:rsidP="00834A5D">
            <w:pPr>
              <w:pStyle w:val="Paragrafoelenco"/>
              <w:numPr>
                <w:ilvl w:val="0"/>
                <w:numId w:val="2"/>
              </w:numPr>
              <w:shd w:val="clear" w:color="auto" w:fill="DEEAF6" w:themeFill="accent5" w:themeFillTint="33"/>
              <w:spacing w:before="60"/>
              <w:ind w:left="429" w:hanging="284"/>
              <w:contextualSpacing w:val="0"/>
              <w:jc w:val="both"/>
              <w:rPr>
                <w:sz w:val="20"/>
                <w:szCs w:val="20"/>
              </w:rPr>
            </w:pPr>
            <w:r w:rsidRPr="005B5931">
              <w:rPr>
                <w:sz w:val="20"/>
                <w:szCs w:val="20"/>
              </w:rPr>
              <w:t>Allegato I.10 al D.Lgs. n. 36/2023.</w:t>
            </w:r>
          </w:p>
        </w:tc>
      </w:tr>
    </w:tbl>
    <w:p w14:paraId="16BF046F" w14:textId="6E108B67" w:rsidR="00160D3C" w:rsidRPr="002F7593" w:rsidRDefault="00160D3C" w:rsidP="006E65FC">
      <w:pPr>
        <w:jc w:val="both"/>
      </w:pPr>
    </w:p>
    <w:sectPr w:rsidR="00160D3C" w:rsidRPr="002F7593" w:rsidSect="00E93607">
      <w:footerReference w:type="default" r:id="rId8"/>
      <w:pgSz w:w="16838" w:h="11906" w:orient="landscape"/>
      <w:pgMar w:top="1134" w:right="1417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B189" w14:textId="77777777" w:rsidR="002A21B0" w:rsidRDefault="002A21B0" w:rsidP="001E4E89">
      <w:pPr>
        <w:spacing w:after="0" w:line="240" w:lineRule="auto"/>
      </w:pPr>
      <w:r>
        <w:separator/>
      </w:r>
    </w:p>
  </w:endnote>
  <w:endnote w:type="continuationSeparator" w:id="0">
    <w:p w14:paraId="4698BB57" w14:textId="77777777" w:rsidR="002A21B0" w:rsidRDefault="002A21B0" w:rsidP="001E4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011323"/>
      <w:docPartObj>
        <w:docPartGallery w:val="Page Numbers (Bottom of Page)"/>
        <w:docPartUnique/>
      </w:docPartObj>
    </w:sdtPr>
    <w:sdtContent>
      <w:p w14:paraId="7AC8FC52" w14:textId="7CB7FC4A" w:rsidR="001E4E89" w:rsidRDefault="001E4E8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9FD290" w14:textId="77777777" w:rsidR="001E4E89" w:rsidRDefault="001E4E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94FC" w14:textId="77777777" w:rsidR="002A21B0" w:rsidRDefault="002A21B0" w:rsidP="001E4E89">
      <w:pPr>
        <w:spacing w:after="0" w:line="240" w:lineRule="auto"/>
      </w:pPr>
      <w:r>
        <w:separator/>
      </w:r>
    </w:p>
  </w:footnote>
  <w:footnote w:type="continuationSeparator" w:id="0">
    <w:p w14:paraId="2EDC1332" w14:textId="77777777" w:rsidR="002A21B0" w:rsidRDefault="002A21B0" w:rsidP="001E4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3E0C"/>
    <w:multiLevelType w:val="hybridMultilevel"/>
    <w:tmpl w:val="6EA06C74"/>
    <w:lvl w:ilvl="0" w:tplc="B578545A">
      <w:numFmt w:val="bullet"/>
      <w:lvlText w:val="-"/>
      <w:lvlJc w:val="left"/>
      <w:pPr>
        <w:ind w:left="114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" w15:restartNumberingAfterBreak="0">
    <w:nsid w:val="03864EA3"/>
    <w:multiLevelType w:val="multilevel"/>
    <w:tmpl w:val="318AF3C0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869" w:hanging="720"/>
      </w:pPr>
      <w:rPr>
        <w:rFonts w:hint="default"/>
        <w:b/>
        <w:bCs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09D846CD"/>
    <w:multiLevelType w:val="multilevel"/>
    <w:tmpl w:val="27D0ADD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 w15:restartNumberingAfterBreak="0">
    <w:nsid w:val="0CAB20E4"/>
    <w:multiLevelType w:val="hybridMultilevel"/>
    <w:tmpl w:val="1C38DBA6"/>
    <w:lvl w:ilvl="0" w:tplc="04100005">
      <w:start w:val="1"/>
      <w:numFmt w:val="bullet"/>
      <w:lvlText w:val=""/>
      <w:lvlJc w:val="left"/>
      <w:pPr>
        <w:ind w:left="10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" w15:restartNumberingAfterBreak="0">
    <w:nsid w:val="0F8D47C2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17E56784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 w15:restartNumberingAfterBreak="0">
    <w:nsid w:val="18F22008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1977231A"/>
    <w:multiLevelType w:val="hybridMultilevel"/>
    <w:tmpl w:val="B19E6FB2"/>
    <w:lvl w:ilvl="0" w:tplc="FD6A996E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 w15:restartNumberingAfterBreak="0">
    <w:nsid w:val="19DE14E7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282D01A3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" w15:restartNumberingAfterBreak="0">
    <w:nsid w:val="2CD51FA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D593D37"/>
    <w:multiLevelType w:val="hybridMultilevel"/>
    <w:tmpl w:val="345E82CA"/>
    <w:lvl w:ilvl="0" w:tplc="E6060F28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94743"/>
    <w:multiLevelType w:val="hybridMultilevel"/>
    <w:tmpl w:val="19683006"/>
    <w:lvl w:ilvl="0" w:tplc="04100005">
      <w:start w:val="1"/>
      <w:numFmt w:val="bullet"/>
      <w:lvlText w:val=""/>
      <w:lvlJc w:val="left"/>
      <w:pPr>
        <w:ind w:left="150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 w15:restartNumberingAfterBreak="0">
    <w:nsid w:val="4AD34C29"/>
    <w:multiLevelType w:val="hybridMultilevel"/>
    <w:tmpl w:val="F0EC51DE"/>
    <w:lvl w:ilvl="0" w:tplc="4266D8E2">
      <w:numFmt w:val="bullet"/>
      <w:lvlText w:val="-"/>
      <w:lvlJc w:val="left"/>
      <w:pPr>
        <w:ind w:left="78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 w15:restartNumberingAfterBreak="0">
    <w:nsid w:val="4C354BD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52B23D05"/>
    <w:multiLevelType w:val="hybridMultilevel"/>
    <w:tmpl w:val="90A481AE"/>
    <w:lvl w:ilvl="0" w:tplc="8482F56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52FA9"/>
    <w:multiLevelType w:val="hybridMultilevel"/>
    <w:tmpl w:val="1D66546A"/>
    <w:lvl w:ilvl="0" w:tplc="67CA32CC">
      <w:start w:val="1"/>
      <w:numFmt w:val="lowerRoman"/>
      <w:lvlText w:val="(%1)"/>
      <w:lvlJc w:val="left"/>
      <w:pPr>
        <w:ind w:left="114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7" w15:restartNumberingAfterBreak="0">
    <w:nsid w:val="6B3071AF"/>
    <w:multiLevelType w:val="hybridMultilevel"/>
    <w:tmpl w:val="0BA8900A"/>
    <w:lvl w:ilvl="0" w:tplc="B578545A">
      <w:numFmt w:val="bullet"/>
      <w:lvlText w:val="-"/>
      <w:lvlJc w:val="left"/>
      <w:pPr>
        <w:ind w:left="150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8" w15:restartNumberingAfterBreak="0">
    <w:nsid w:val="6B7945FD"/>
    <w:multiLevelType w:val="hybridMultilevel"/>
    <w:tmpl w:val="0B5C05AE"/>
    <w:lvl w:ilvl="0" w:tplc="58E4BF1C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9" w15:restartNumberingAfterBreak="0">
    <w:nsid w:val="71761DBC"/>
    <w:multiLevelType w:val="hybridMultilevel"/>
    <w:tmpl w:val="FF2A99F0"/>
    <w:lvl w:ilvl="0" w:tplc="1BAC04F0">
      <w:start w:val="1"/>
      <w:numFmt w:val="lowerLetter"/>
      <w:lvlText w:val="(%1)"/>
      <w:lvlJc w:val="left"/>
      <w:pPr>
        <w:ind w:left="789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74E837DF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1" w15:restartNumberingAfterBreak="0">
    <w:nsid w:val="7B3C0E4F"/>
    <w:multiLevelType w:val="hybridMultilevel"/>
    <w:tmpl w:val="1B120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336434">
    <w:abstractNumId w:val="11"/>
  </w:num>
  <w:num w:numId="2" w16cid:durableId="242497783">
    <w:abstractNumId w:val="3"/>
  </w:num>
  <w:num w:numId="3" w16cid:durableId="1956709069">
    <w:abstractNumId w:val="18"/>
  </w:num>
  <w:num w:numId="4" w16cid:durableId="644242141">
    <w:abstractNumId w:val="9"/>
  </w:num>
  <w:num w:numId="5" w16cid:durableId="1224609576">
    <w:abstractNumId w:val="6"/>
  </w:num>
  <w:num w:numId="6" w16cid:durableId="353967767">
    <w:abstractNumId w:val="10"/>
  </w:num>
  <w:num w:numId="7" w16cid:durableId="1784183654">
    <w:abstractNumId w:val="14"/>
  </w:num>
  <w:num w:numId="8" w16cid:durableId="1112214648">
    <w:abstractNumId w:val="1"/>
  </w:num>
  <w:num w:numId="9" w16cid:durableId="946808650">
    <w:abstractNumId w:val="20"/>
  </w:num>
  <w:num w:numId="10" w16cid:durableId="614140758">
    <w:abstractNumId w:val="2"/>
  </w:num>
  <w:num w:numId="11" w16cid:durableId="1512329842">
    <w:abstractNumId w:val="16"/>
  </w:num>
  <w:num w:numId="12" w16cid:durableId="1067413972">
    <w:abstractNumId w:val="8"/>
  </w:num>
  <w:num w:numId="13" w16cid:durableId="1913736987">
    <w:abstractNumId w:val="21"/>
  </w:num>
  <w:num w:numId="14" w16cid:durableId="1141078453">
    <w:abstractNumId w:val="0"/>
  </w:num>
  <w:num w:numId="15" w16cid:durableId="51849889">
    <w:abstractNumId w:val="13"/>
  </w:num>
  <w:num w:numId="16" w16cid:durableId="1218586282">
    <w:abstractNumId w:val="7"/>
  </w:num>
  <w:num w:numId="17" w16cid:durableId="1732263987">
    <w:abstractNumId w:val="19"/>
  </w:num>
  <w:num w:numId="18" w16cid:durableId="1560751387">
    <w:abstractNumId w:val="4"/>
  </w:num>
  <w:num w:numId="19" w16cid:durableId="269121988">
    <w:abstractNumId w:val="5"/>
  </w:num>
  <w:num w:numId="20" w16cid:durableId="650252203">
    <w:abstractNumId w:val="12"/>
  </w:num>
  <w:num w:numId="21" w16cid:durableId="94180919">
    <w:abstractNumId w:val="17"/>
  </w:num>
  <w:num w:numId="22" w16cid:durableId="5690048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D90"/>
    <w:rsid w:val="0000138F"/>
    <w:rsid w:val="0000632C"/>
    <w:rsid w:val="00012C44"/>
    <w:rsid w:val="00024728"/>
    <w:rsid w:val="0002558D"/>
    <w:rsid w:val="000273B5"/>
    <w:rsid w:val="00033510"/>
    <w:rsid w:val="00033F98"/>
    <w:rsid w:val="00034A6C"/>
    <w:rsid w:val="00035D28"/>
    <w:rsid w:val="000420D8"/>
    <w:rsid w:val="00042E78"/>
    <w:rsid w:val="000529F6"/>
    <w:rsid w:val="00053DBF"/>
    <w:rsid w:val="00054701"/>
    <w:rsid w:val="00056433"/>
    <w:rsid w:val="00056E61"/>
    <w:rsid w:val="000609B9"/>
    <w:rsid w:val="00064D97"/>
    <w:rsid w:val="00064F5E"/>
    <w:rsid w:val="0006533A"/>
    <w:rsid w:val="00070441"/>
    <w:rsid w:val="00071A37"/>
    <w:rsid w:val="00082E65"/>
    <w:rsid w:val="0008510E"/>
    <w:rsid w:val="00086233"/>
    <w:rsid w:val="00091CAA"/>
    <w:rsid w:val="00091D31"/>
    <w:rsid w:val="00092D77"/>
    <w:rsid w:val="000932FF"/>
    <w:rsid w:val="0009459F"/>
    <w:rsid w:val="000956F8"/>
    <w:rsid w:val="00096F8A"/>
    <w:rsid w:val="000970D0"/>
    <w:rsid w:val="00097387"/>
    <w:rsid w:val="00097D2C"/>
    <w:rsid w:val="000A348D"/>
    <w:rsid w:val="000A5C09"/>
    <w:rsid w:val="000A5C30"/>
    <w:rsid w:val="000A7638"/>
    <w:rsid w:val="000B032B"/>
    <w:rsid w:val="000B0C32"/>
    <w:rsid w:val="000B1914"/>
    <w:rsid w:val="000B4585"/>
    <w:rsid w:val="000B5F8E"/>
    <w:rsid w:val="000C123F"/>
    <w:rsid w:val="000C16E3"/>
    <w:rsid w:val="000C1AE0"/>
    <w:rsid w:val="000C1CA1"/>
    <w:rsid w:val="000C52CA"/>
    <w:rsid w:val="000D5C1F"/>
    <w:rsid w:val="000D68A7"/>
    <w:rsid w:val="000E0B0D"/>
    <w:rsid w:val="000E0BFB"/>
    <w:rsid w:val="000E3086"/>
    <w:rsid w:val="000E3770"/>
    <w:rsid w:val="000E4F20"/>
    <w:rsid w:val="000E7126"/>
    <w:rsid w:val="000E7BA2"/>
    <w:rsid w:val="000F515D"/>
    <w:rsid w:val="000F5405"/>
    <w:rsid w:val="001000E2"/>
    <w:rsid w:val="00106231"/>
    <w:rsid w:val="00106309"/>
    <w:rsid w:val="00106F68"/>
    <w:rsid w:val="00117660"/>
    <w:rsid w:val="00122629"/>
    <w:rsid w:val="00132C1A"/>
    <w:rsid w:val="00134F48"/>
    <w:rsid w:val="00136C89"/>
    <w:rsid w:val="001458BA"/>
    <w:rsid w:val="00147572"/>
    <w:rsid w:val="00147DD9"/>
    <w:rsid w:val="001502AD"/>
    <w:rsid w:val="001535D6"/>
    <w:rsid w:val="00154472"/>
    <w:rsid w:val="00154D0E"/>
    <w:rsid w:val="00155BD0"/>
    <w:rsid w:val="00155E7A"/>
    <w:rsid w:val="00160D3C"/>
    <w:rsid w:val="00165AE9"/>
    <w:rsid w:val="00165FE4"/>
    <w:rsid w:val="00166572"/>
    <w:rsid w:val="00167082"/>
    <w:rsid w:val="00171B64"/>
    <w:rsid w:val="00173543"/>
    <w:rsid w:val="00174AC1"/>
    <w:rsid w:val="0017501A"/>
    <w:rsid w:val="001759CB"/>
    <w:rsid w:val="00176CDA"/>
    <w:rsid w:val="00181C8C"/>
    <w:rsid w:val="00183324"/>
    <w:rsid w:val="001844FA"/>
    <w:rsid w:val="00185570"/>
    <w:rsid w:val="0019009C"/>
    <w:rsid w:val="00190336"/>
    <w:rsid w:val="00190BDB"/>
    <w:rsid w:val="00190D95"/>
    <w:rsid w:val="00192E8C"/>
    <w:rsid w:val="00196B1C"/>
    <w:rsid w:val="001A18EA"/>
    <w:rsid w:val="001A4832"/>
    <w:rsid w:val="001A7E25"/>
    <w:rsid w:val="001B2855"/>
    <w:rsid w:val="001B2CE6"/>
    <w:rsid w:val="001C1455"/>
    <w:rsid w:val="001C263A"/>
    <w:rsid w:val="001C6C47"/>
    <w:rsid w:val="001D11F7"/>
    <w:rsid w:val="001D5FB4"/>
    <w:rsid w:val="001E4E89"/>
    <w:rsid w:val="001E530C"/>
    <w:rsid w:val="001F226F"/>
    <w:rsid w:val="001F28C3"/>
    <w:rsid w:val="001F75F5"/>
    <w:rsid w:val="00200589"/>
    <w:rsid w:val="00204B20"/>
    <w:rsid w:val="00206AD7"/>
    <w:rsid w:val="00210D30"/>
    <w:rsid w:val="00213A2D"/>
    <w:rsid w:val="002177DC"/>
    <w:rsid w:val="002231E9"/>
    <w:rsid w:val="00223824"/>
    <w:rsid w:val="0022408A"/>
    <w:rsid w:val="002243DA"/>
    <w:rsid w:val="00224EC6"/>
    <w:rsid w:val="00225198"/>
    <w:rsid w:val="00225E76"/>
    <w:rsid w:val="002358BA"/>
    <w:rsid w:val="002375BC"/>
    <w:rsid w:val="00237705"/>
    <w:rsid w:val="00243B90"/>
    <w:rsid w:val="002445A8"/>
    <w:rsid w:val="00244C40"/>
    <w:rsid w:val="00245446"/>
    <w:rsid w:val="00245466"/>
    <w:rsid w:val="0024635C"/>
    <w:rsid w:val="002526FB"/>
    <w:rsid w:val="0025375F"/>
    <w:rsid w:val="0025404F"/>
    <w:rsid w:val="002563E4"/>
    <w:rsid w:val="00260663"/>
    <w:rsid w:val="002618F1"/>
    <w:rsid w:val="00261AD1"/>
    <w:rsid w:val="0027349F"/>
    <w:rsid w:val="00273C1E"/>
    <w:rsid w:val="00274E6C"/>
    <w:rsid w:val="002778C9"/>
    <w:rsid w:val="002844CC"/>
    <w:rsid w:val="00286805"/>
    <w:rsid w:val="00287644"/>
    <w:rsid w:val="00287C6D"/>
    <w:rsid w:val="002917BA"/>
    <w:rsid w:val="0029303A"/>
    <w:rsid w:val="00293757"/>
    <w:rsid w:val="002942BB"/>
    <w:rsid w:val="00295E38"/>
    <w:rsid w:val="0029723A"/>
    <w:rsid w:val="002A099E"/>
    <w:rsid w:val="002A2183"/>
    <w:rsid w:val="002A21B0"/>
    <w:rsid w:val="002A2870"/>
    <w:rsid w:val="002A57BE"/>
    <w:rsid w:val="002A6819"/>
    <w:rsid w:val="002A72AF"/>
    <w:rsid w:val="002A7DC7"/>
    <w:rsid w:val="002B0F27"/>
    <w:rsid w:val="002B1AEF"/>
    <w:rsid w:val="002B5273"/>
    <w:rsid w:val="002B5D9C"/>
    <w:rsid w:val="002C14CC"/>
    <w:rsid w:val="002C22F4"/>
    <w:rsid w:val="002C5B5C"/>
    <w:rsid w:val="002D216B"/>
    <w:rsid w:val="002D54DE"/>
    <w:rsid w:val="002D5D62"/>
    <w:rsid w:val="002D7AD2"/>
    <w:rsid w:val="002D7CC0"/>
    <w:rsid w:val="002E13C1"/>
    <w:rsid w:val="002E5085"/>
    <w:rsid w:val="002F05A1"/>
    <w:rsid w:val="002F0890"/>
    <w:rsid w:val="002F24F5"/>
    <w:rsid w:val="002F40B8"/>
    <w:rsid w:val="002F567E"/>
    <w:rsid w:val="002F7593"/>
    <w:rsid w:val="00301F70"/>
    <w:rsid w:val="0030231E"/>
    <w:rsid w:val="0030244E"/>
    <w:rsid w:val="00304682"/>
    <w:rsid w:val="00305315"/>
    <w:rsid w:val="00305DE0"/>
    <w:rsid w:val="0030696B"/>
    <w:rsid w:val="00313C5C"/>
    <w:rsid w:val="003149E1"/>
    <w:rsid w:val="0031530E"/>
    <w:rsid w:val="0031650F"/>
    <w:rsid w:val="00316734"/>
    <w:rsid w:val="00325612"/>
    <w:rsid w:val="00325F5C"/>
    <w:rsid w:val="0032651A"/>
    <w:rsid w:val="0033317F"/>
    <w:rsid w:val="00336386"/>
    <w:rsid w:val="00340BED"/>
    <w:rsid w:val="003427DC"/>
    <w:rsid w:val="00344B53"/>
    <w:rsid w:val="003513B4"/>
    <w:rsid w:val="00354FA7"/>
    <w:rsid w:val="003562CB"/>
    <w:rsid w:val="003574BC"/>
    <w:rsid w:val="00361FF7"/>
    <w:rsid w:val="003641E3"/>
    <w:rsid w:val="00370F41"/>
    <w:rsid w:val="00373E7B"/>
    <w:rsid w:val="0037405C"/>
    <w:rsid w:val="0037605A"/>
    <w:rsid w:val="00376A25"/>
    <w:rsid w:val="003770E6"/>
    <w:rsid w:val="00383CFD"/>
    <w:rsid w:val="00392972"/>
    <w:rsid w:val="00392BF5"/>
    <w:rsid w:val="00394454"/>
    <w:rsid w:val="00394D06"/>
    <w:rsid w:val="00395401"/>
    <w:rsid w:val="003955D3"/>
    <w:rsid w:val="003A13CE"/>
    <w:rsid w:val="003A296B"/>
    <w:rsid w:val="003A2CCA"/>
    <w:rsid w:val="003A6AFB"/>
    <w:rsid w:val="003B2C26"/>
    <w:rsid w:val="003C6E2D"/>
    <w:rsid w:val="003D47E7"/>
    <w:rsid w:val="003E2D57"/>
    <w:rsid w:val="003E7188"/>
    <w:rsid w:val="003F0F2F"/>
    <w:rsid w:val="003F2AF1"/>
    <w:rsid w:val="00401B2A"/>
    <w:rsid w:val="00401DA9"/>
    <w:rsid w:val="00402293"/>
    <w:rsid w:val="00405515"/>
    <w:rsid w:val="00407FE0"/>
    <w:rsid w:val="00411178"/>
    <w:rsid w:val="00412207"/>
    <w:rsid w:val="004135DB"/>
    <w:rsid w:val="00413B4F"/>
    <w:rsid w:val="00414032"/>
    <w:rsid w:val="00416EB5"/>
    <w:rsid w:val="00421E70"/>
    <w:rsid w:val="00423397"/>
    <w:rsid w:val="004235FF"/>
    <w:rsid w:val="00423B80"/>
    <w:rsid w:val="00424B27"/>
    <w:rsid w:val="00425B25"/>
    <w:rsid w:val="0042615B"/>
    <w:rsid w:val="00427557"/>
    <w:rsid w:val="004313A6"/>
    <w:rsid w:val="00431ED4"/>
    <w:rsid w:val="00432E3D"/>
    <w:rsid w:val="00433E09"/>
    <w:rsid w:val="004360B5"/>
    <w:rsid w:val="00437507"/>
    <w:rsid w:val="00437590"/>
    <w:rsid w:val="00437984"/>
    <w:rsid w:val="00444EC9"/>
    <w:rsid w:val="004474B0"/>
    <w:rsid w:val="00450277"/>
    <w:rsid w:val="00452483"/>
    <w:rsid w:val="00453D18"/>
    <w:rsid w:val="00454150"/>
    <w:rsid w:val="00456358"/>
    <w:rsid w:val="004610E3"/>
    <w:rsid w:val="00462341"/>
    <w:rsid w:val="00465D90"/>
    <w:rsid w:val="00467EBA"/>
    <w:rsid w:val="0047553B"/>
    <w:rsid w:val="004769B4"/>
    <w:rsid w:val="004819C4"/>
    <w:rsid w:val="0048432F"/>
    <w:rsid w:val="00484E29"/>
    <w:rsid w:val="00485F5B"/>
    <w:rsid w:val="004923E5"/>
    <w:rsid w:val="00492DB1"/>
    <w:rsid w:val="00493E50"/>
    <w:rsid w:val="004942EF"/>
    <w:rsid w:val="00494B8E"/>
    <w:rsid w:val="004A34CA"/>
    <w:rsid w:val="004A3AD9"/>
    <w:rsid w:val="004A4EEA"/>
    <w:rsid w:val="004A6583"/>
    <w:rsid w:val="004B260D"/>
    <w:rsid w:val="004B3812"/>
    <w:rsid w:val="004B3E15"/>
    <w:rsid w:val="004B3EEF"/>
    <w:rsid w:val="004B5009"/>
    <w:rsid w:val="004B5B18"/>
    <w:rsid w:val="004D0777"/>
    <w:rsid w:val="004D1361"/>
    <w:rsid w:val="004D27AB"/>
    <w:rsid w:val="004D4909"/>
    <w:rsid w:val="004D7D1A"/>
    <w:rsid w:val="004E0C5A"/>
    <w:rsid w:val="004E2734"/>
    <w:rsid w:val="004F1596"/>
    <w:rsid w:val="004F7082"/>
    <w:rsid w:val="0050113C"/>
    <w:rsid w:val="00503BAA"/>
    <w:rsid w:val="0050440C"/>
    <w:rsid w:val="00505F1A"/>
    <w:rsid w:val="00507FB6"/>
    <w:rsid w:val="00511F52"/>
    <w:rsid w:val="005120E6"/>
    <w:rsid w:val="00514FE5"/>
    <w:rsid w:val="00517DD5"/>
    <w:rsid w:val="005220B5"/>
    <w:rsid w:val="00522798"/>
    <w:rsid w:val="00526970"/>
    <w:rsid w:val="00533B0E"/>
    <w:rsid w:val="00535E41"/>
    <w:rsid w:val="00536689"/>
    <w:rsid w:val="00536F77"/>
    <w:rsid w:val="00540CC8"/>
    <w:rsid w:val="00543A99"/>
    <w:rsid w:val="00552313"/>
    <w:rsid w:val="00556FB6"/>
    <w:rsid w:val="00557460"/>
    <w:rsid w:val="00561CEA"/>
    <w:rsid w:val="005626B4"/>
    <w:rsid w:val="00563258"/>
    <w:rsid w:val="00564AFE"/>
    <w:rsid w:val="0056633D"/>
    <w:rsid w:val="0057075F"/>
    <w:rsid w:val="00580587"/>
    <w:rsid w:val="00582F25"/>
    <w:rsid w:val="005879D5"/>
    <w:rsid w:val="00590C5F"/>
    <w:rsid w:val="00592A97"/>
    <w:rsid w:val="0059510C"/>
    <w:rsid w:val="005A185C"/>
    <w:rsid w:val="005A1C89"/>
    <w:rsid w:val="005A277C"/>
    <w:rsid w:val="005A62C6"/>
    <w:rsid w:val="005A6E60"/>
    <w:rsid w:val="005A7528"/>
    <w:rsid w:val="005B2521"/>
    <w:rsid w:val="005B5931"/>
    <w:rsid w:val="005C3780"/>
    <w:rsid w:val="005C4904"/>
    <w:rsid w:val="005C7128"/>
    <w:rsid w:val="005C7F2D"/>
    <w:rsid w:val="005D1FF3"/>
    <w:rsid w:val="005D4DD9"/>
    <w:rsid w:val="005D7C92"/>
    <w:rsid w:val="005D7F84"/>
    <w:rsid w:val="005E1595"/>
    <w:rsid w:val="005E379B"/>
    <w:rsid w:val="005E6CCC"/>
    <w:rsid w:val="005F0DF5"/>
    <w:rsid w:val="005F6CB5"/>
    <w:rsid w:val="006010B0"/>
    <w:rsid w:val="00601855"/>
    <w:rsid w:val="0061028D"/>
    <w:rsid w:val="00613BA7"/>
    <w:rsid w:val="006148EC"/>
    <w:rsid w:val="00615440"/>
    <w:rsid w:val="00625388"/>
    <w:rsid w:val="00627BB2"/>
    <w:rsid w:val="00630931"/>
    <w:rsid w:val="00631252"/>
    <w:rsid w:val="0063181B"/>
    <w:rsid w:val="00636AB7"/>
    <w:rsid w:val="00640806"/>
    <w:rsid w:val="006422EF"/>
    <w:rsid w:val="00642426"/>
    <w:rsid w:val="00642A43"/>
    <w:rsid w:val="006518C5"/>
    <w:rsid w:val="00651B32"/>
    <w:rsid w:val="00652A78"/>
    <w:rsid w:val="00653A2B"/>
    <w:rsid w:val="00654123"/>
    <w:rsid w:val="00660C0A"/>
    <w:rsid w:val="006614C7"/>
    <w:rsid w:val="006640DB"/>
    <w:rsid w:val="00665B7C"/>
    <w:rsid w:val="00672082"/>
    <w:rsid w:val="00672442"/>
    <w:rsid w:val="00672B6E"/>
    <w:rsid w:val="00674922"/>
    <w:rsid w:val="00676A4B"/>
    <w:rsid w:val="006823A0"/>
    <w:rsid w:val="006863BB"/>
    <w:rsid w:val="00687A2C"/>
    <w:rsid w:val="00690A95"/>
    <w:rsid w:val="00690B80"/>
    <w:rsid w:val="006917DE"/>
    <w:rsid w:val="006A0A2A"/>
    <w:rsid w:val="006A29A1"/>
    <w:rsid w:val="006A3C6F"/>
    <w:rsid w:val="006A4176"/>
    <w:rsid w:val="006A6DB1"/>
    <w:rsid w:val="006A76E9"/>
    <w:rsid w:val="006B6C28"/>
    <w:rsid w:val="006B7C92"/>
    <w:rsid w:val="006C49CA"/>
    <w:rsid w:val="006C4B75"/>
    <w:rsid w:val="006D4A2F"/>
    <w:rsid w:val="006D5E24"/>
    <w:rsid w:val="006E1322"/>
    <w:rsid w:val="006E287E"/>
    <w:rsid w:val="006E538C"/>
    <w:rsid w:val="006E65FC"/>
    <w:rsid w:val="006F2055"/>
    <w:rsid w:val="006F27B3"/>
    <w:rsid w:val="006F7D96"/>
    <w:rsid w:val="007016E8"/>
    <w:rsid w:val="0071127E"/>
    <w:rsid w:val="007116DB"/>
    <w:rsid w:val="007125E6"/>
    <w:rsid w:val="007169F7"/>
    <w:rsid w:val="00716F0D"/>
    <w:rsid w:val="0073403E"/>
    <w:rsid w:val="00734DBF"/>
    <w:rsid w:val="00735959"/>
    <w:rsid w:val="007371D3"/>
    <w:rsid w:val="007404EE"/>
    <w:rsid w:val="00741C6E"/>
    <w:rsid w:val="007432D1"/>
    <w:rsid w:val="00747BDB"/>
    <w:rsid w:val="0075005B"/>
    <w:rsid w:val="00750FB0"/>
    <w:rsid w:val="00752727"/>
    <w:rsid w:val="00752CC6"/>
    <w:rsid w:val="00755B49"/>
    <w:rsid w:val="007560FA"/>
    <w:rsid w:val="00761CBD"/>
    <w:rsid w:val="00765AAD"/>
    <w:rsid w:val="00767E9D"/>
    <w:rsid w:val="00772488"/>
    <w:rsid w:val="0077315B"/>
    <w:rsid w:val="0077334A"/>
    <w:rsid w:val="007737A0"/>
    <w:rsid w:val="0077544C"/>
    <w:rsid w:val="0078051F"/>
    <w:rsid w:val="007813EE"/>
    <w:rsid w:val="00782EA3"/>
    <w:rsid w:val="00785495"/>
    <w:rsid w:val="00790E14"/>
    <w:rsid w:val="00790EA8"/>
    <w:rsid w:val="007915EC"/>
    <w:rsid w:val="00792DC3"/>
    <w:rsid w:val="00793104"/>
    <w:rsid w:val="00793B39"/>
    <w:rsid w:val="00796FE2"/>
    <w:rsid w:val="00797F2A"/>
    <w:rsid w:val="007A2941"/>
    <w:rsid w:val="007A2F80"/>
    <w:rsid w:val="007A6129"/>
    <w:rsid w:val="007A6859"/>
    <w:rsid w:val="007B2168"/>
    <w:rsid w:val="007B36B2"/>
    <w:rsid w:val="007B4013"/>
    <w:rsid w:val="007B5C92"/>
    <w:rsid w:val="007C0377"/>
    <w:rsid w:val="007C1327"/>
    <w:rsid w:val="007C4D08"/>
    <w:rsid w:val="007C6CC2"/>
    <w:rsid w:val="007D0672"/>
    <w:rsid w:val="007D297F"/>
    <w:rsid w:val="007D321C"/>
    <w:rsid w:val="007D6E47"/>
    <w:rsid w:val="007D719A"/>
    <w:rsid w:val="007E0E17"/>
    <w:rsid w:val="007E677B"/>
    <w:rsid w:val="007E69E7"/>
    <w:rsid w:val="007F2A86"/>
    <w:rsid w:val="007F3E6F"/>
    <w:rsid w:val="007F4573"/>
    <w:rsid w:val="007F55F6"/>
    <w:rsid w:val="007F5AC4"/>
    <w:rsid w:val="007F6CAC"/>
    <w:rsid w:val="007F6E15"/>
    <w:rsid w:val="007F75D7"/>
    <w:rsid w:val="00801762"/>
    <w:rsid w:val="00802E3E"/>
    <w:rsid w:val="008033C2"/>
    <w:rsid w:val="00806A87"/>
    <w:rsid w:val="00810BD3"/>
    <w:rsid w:val="00811DC7"/>
    <w:rsid w:val="008123BE"/>
    <w:rsid w:val="008140FF"/>
    <w:rsid w:val="00820695"/>
    <w:rsid w:val="00822F42"/>
    <w:rsid w:val="0082423C"/>
    <w:rsid w:val="008248B5"/>
    <w:rsid w:val="0082719C"/>
    <w:rsid w:val="00831316"/>
    <w:rsid w:val="008313C4"/>
    <w:rsid w:val="0084345C"/>
    <w:rsid w:val="00845830"/>
    <w:rsid w:val="00850E7B"/>
    <w:rsid w:val="00851888"/>
    <w:rsid w:val="00852077"/>
    <w:rsid w:val="00852D15"/>
    <w:rsid w:val="00856070"/>
    <w:rsid w:val="008604B8"/>
    <w:rsid w:val="00864164"/>
    <w:rsid w:val="00872CE7"/>
    <w:rsid w:val="008733CC"/>
    <w:rsid w:val="00877AC6"/>
    <w:rsid w:val="00892A26"/>
    <w:rsid w:val="00893241"/>
    <w:rsid w:val="008932D9"/>
    <w:rsid w:val="00895E3E"/>
    <w:rsid w:val="008A2062"/>
    <w:rsid w:val="008A64AA"/>
    <w:rsid w:val="008B244D"/>
    <w:rsid w:val="008B5DE9"/>
    <w:rsid w:val="008B63E4"/>
    <w:rsid w:val="008B798C"/>
    <w:rsid w:val="008C0427"/>
    <w:rsid w:val="008C3E4E"/>
    <w:rsid w:val="008D2066"/>
    <w:rsid w:val="008D2FBE"/>
    <w:rsid w:val="008D500E"/>
    <w:rsid w:val="008D663A"/>
    <w:rsid w:val="008E026B"/>
    <w:rsid w:val="008E0DB4"/>
    <w:rsid w:val="008E2EBF"/>
    <w:rsid w:val="008E31F3"/>
    <w:rsid w:val="008E6B6C"/>
    <w:rsid w:val="008F6F3F"/>
    <w:rsid w:val="00902BD3"/>
    <w:rsid w:val="0090340C"/>
    <w:rsid w:val="00904B8A"/>
    <w:rsid w:val="009069DC"/>
    <w:rsid w:val="00906AF0"/>
    <w:rsid w:val="00906CB0"/>
    <w:rsid w:val="00912042"/>
    <w:rsid w:val="0091217B"/>
    <w:rsid w:val="00914458"/>
    <w:rsid w:val="00917543"/>
    <w:rsid w:val="00917B43"/>
    <w:rsid w:val="00917BDA"/>
    <w:rsid w:val="00921307"/>
    <w:rsid w:val="0092414C"/>
    <w:rsid w:val="00925555"/>
    <w:rsid w:val="0093141D"/>
    <w:rsid w:val="00931DA4"/>
    <w:rsid w:val="009324AC"/>
    <w:rsid w:val="00932A2D"/>
    <w:rsid w:val="00934240"/>
    <w:rsid w:val="00934DA0"/>
    <w:rsid w:val="0094659A"/>
    <w:rsid w:val="00947897"/>
    <w:rsid w:val="009512EC"/>
    <w:rsid w:val="009544A9"/>
    <w:rsid w:val="00955A94"/>
    <w:rsid w:val="0095757B"/>
    <w:rsid w:val="00960920"/>
    <w:rsid w:val="00966198"/>
    <w:rsid w:val="00966E08"/>
    <w:rsid w:val="009671FC"/>
    <w:rsid w:val="009725F6"/>
    <w:rsid w:val="009730A2"/>
    <w:rsid w:val="009810A5"/>
    <w:rsid w:val="00984CEF"/>
    <w:rsid w:val="00992871"/>
    <w:rsid w:val="0099756F"/>
    <w:rsid w:val="009A040C"/>
    <w:rsid w:val="009A6F8B"/>
    <w:rsid w:val="009B3D4A"/>
    <w:rsid w:val="009C0EA3"/>
    <w:rsid w:val="009C0EC5"/>
    <w:rsid w:val="009C4E4A"/>
    <w:rsid w:val="009D2A5B"/>
    <w:rsid w:val="009D36E8"/>
    <w:rsid w:val="009D5288"/>
    <w:rsid w:val="009D7139"/>
    <w:rsid w:val="009E261C"/>
    <w:rsid w:val="009E3BD3"/>
    <w:rsid w:val="009E5507"/>
    <w:rsid w:val="009E55D5"/>
    <w:rsid w:val="009E77E9"/>
    <w:rsid w:val="009F1C88"/>
    <w:rsid w:val="009F1D63"/>
    <w:rsid w:val="009F2458"/>
    <w:rsid w:val="009F4A9F"/>
    <w:rsid w:val="009F68E4"/>
    <w:rsid w:val="00A008BD"/>
    <w:rsid w:val="00A04E29"/>
    <w:rsid w:val="00A058C5"/>
    <w:rsid w:val="00A13A14"/>
    <w:rsid w:val="00A200D5"/>
    <w:rsid w:val="00A224B1"/>
    <w:rsid w:val="00A25B5C"/>
    <w:rsid w:val="00A314B9"/>
    <w:rsid w:val="00A317DA"/>
    <w:rsid w:val="00A32748"/>
    <w:rsid w:val="00A34928"/>
    <w:rsid w:val="00A40DE6"/>
    <w:rsid w:val="00A4244C"/>
    <w:rsid w:val="00A45236"/>
    <w:rsid w:val="00A45C44"/>
    <w:rsid w:val="00A505B0"/>
    <w:rsid w:val="00A512C6"/>
    <w:rsid w:val="00A575FE"/>
    <w:rsid w:val="00A6204E"/>
    <w:rsid w:val="00A630AF"/>
    <w:rsid w:val="00A674C9"/>
    <w:rsid w:val="00A7272B"/>
    <w:rsid w:val="00A72BA7"/>
    <w:rsid w:val="00A74CC0"/>
    <w:rsid w:val="00A7699F"/>
    <w:rsid w:val="00A803E5"/>
    <w:rsid w:val="00A80834"/>
    <w:rsid w:val="00A80D72"/>
    <w:rsid w:val="00A81017"/>
    <w:rsid w:val="00A812AA"/>
    <w:rsid w:val="00A81DC2"/>
    <w:rsid w:val="00A82EFE"/>
    <w:rsid w:val="00A839AF"/>
    <w:rsid w:val="00A845BD"/>
    <w:rsid w:val="00A84962"/>
    <w:rsid w:val="00A922B0"/>
    <w:rsid w:val="00A93061"/>
    <w:rsid w:val="00A94DE8"/>
    <w:rsid w:val="00A94ECC"/>
    <w:rsid w:val="00A959AC"/>
    <w:rsid w:val="00AA2040"/>
    <w:rsid w:val="00AA2DF2"/>
    <w:rsid w:val="00AA610F"/>
    <w:rsid w:val="00AA7B4F"/>
    <w:rsid w:val="00AB0E76"/>
    <w:rsid w:val="00AB3CCE"/>
    <w:rsid w:val="00AB4FDA"/>
    <w:rsid w:val="00AB7237"/>
    <w:rsid w:val="00AC063B"/>
    <w:rsid w:val="00AC416D"/>
    <w:rsid w:val="00AD4C42"/>
    <w:rsid w:val="00AD533C"/>
    <w:rsid w:val="00AD60A1"/>
    <w:rsid w:val="00AD7859"/>
    <w:rsid w:val="00AE1BD8"/>
    <w:rsid w:val="00AE320A"/>
    <w:rsid w:val="00AE3F5C"/>
    <w:rsid w:val="00AE69A3"/>
    <w:rsid w:val="00AF34A6"/>
    <w:rsid w:val="00AF3B7A"/>
    <w:rsid w:val="00AF5814"/>
    <w:rsid w:val="00B00EF3"/>
    <w:rsid w:val="00B0238D"/>
    <w:rsid w:val="00B02810"/>
    <w:rsid w:val="00B02AB5"/>
    <w:rsid w:val="00B037BA"/>
    <w:rsid w:val="00B04E76"/>
    <w:rsid w:val="00B05231"/>
    <w:rsid w:val="00B12F58"/>
    <w:rsid w:val="00B162B8"/>
    <w:rsid w:val="00B24183"/>
    <w:rsid w:val="00B2699A"/>
    <w:rsid w:val="00B338F9"/>
    <w:rsid w:val="00B34FB6"/>
    <w:rsid w:val="00B40D8F"/>
    <w:rsid w:val="00B41465"/>
    <w:rsid w:val="00B421AA"/>
    <w:rsid w:val="00B46B05"/>
    <w:rsid w:val="00B47D99"/>
    <w:rsid w:val="00B47DA9"/>
    <w:rsid w:val="00B47E4E"/>
    <w:rsid w:val="00B50057"/>
    <w:rsid w:val="00B52EE0"/>
    <w:rsid w:val="00B57159"/>
    <w:rsid w:val="00B57D23"/>
    <w:rsid w:val="00B65441"/>
    <w:rsid w:val="00B65629"/>
    <w:rsid w:val="00B66703"/>
    <w:rsid w:val="00B71C78"/>
    <w:rsid w:val="00B72516"/>
    <w:rsid w:val="00B72F9D"/>
    <w:rsid w:val="00B74EC3"/>
    <w:rsid w:val="00B75441"/>
    <w:rsid w:val="00B80238"/>
    <w:rsid w:val="00B843B0"/>
    <w:rsid w:val="00B86DCE"/>
    <w:rsid w:val="00B900EB"/>
    <w:rsid w:val="00B93450"/>
    <w:rsid w:val="00B951BA"/>
    <w:rsid w:val="00B97F88"/>
    <w:rsid w:val="00BA0641"/>
    <w:rsid w:val="00BA0909"/>
    <w:rsid w:val="00BA0D5B"/>
    <w:rsid w:val="00BA76BD"/>
    <w:rsid w:val="00BA7CDC"/>
    <w:rsid w:val="00BA7E71"/>
    <w:rsid w:val="00BB502F"/>
    <w:rsid w:val="00BC0D6A"/>
    <w:rsid w:val="00BC25B3"/>
    <w:rsid w:val="00BC2AA8"/>
    <w:rsid w:val="00BC554A"/>
    <w:rsid w:val="00BC5910"/>
    <w:rsid w:val="00BC6ACD"/>
    <w:rsid w:val="00BD007A"/>
    <w:rsid w:val="00BD1FEC"/>
    <w:rsid w:val="00BE0671"/>
    <w:rsid w:val="00BE0A43"/>
    <w:rsid w:val="00BE39C0"/>
    <w:rsid w:val="00BE4E64"/>
    <w:rsid w:val="00BE7E28"/>
    <w:rsid w:val="00BF123B"/>
    <w:rsid w:val="00BF7463"/>
    <w:rsid w:val="00BF7C8F"/>
    <w:rsid w:val="00BF7D18"/>
    <w:rsid w:val="00C027F7"/>
    <w:rsid w:val="00C02D56"/>
    <w:rsid w:val="00C0370D"/>
    <w:rsid w:val="00C10CB7"/>
    <w:rsid w:val="00C1467B"/>
    <w:rsid w:val="00C15C05"/>
    <w:rsid w:val="00C162EE"/>
    <w:rsid w:val="00C16A9D"/>
    <w:rsid w:val="00C23741"/>
    <w:rsid w:val="00C23C6C"/>
    <w:rsid w:val="00C26685"/>
    <w:rsid w:val="00C27ED4"/>
    <w:rsid w:val="00C340D0"/>
    <w:rsid w:val="00C35CD1"/>
    <w:rsid w:val="00C40BBA"/>
    <w:rsid w:val="00C4618A"/>
    <w:rsid w:val="00C46C7D"/>
    <w:rsid w:val="00C526C0"/>
    <w:rsid w:val="00C52AE9"/>
    <w:rsid w:val="00C53D4B"/>
    <w:rsid w:val="00C5788A"/>
    <w:rsid w:val="00C63895"/>
    <w:rsid w:val="00C6518C"/>
    <w:rsid w:val="00C66025"/>
    <w:rsid w:val="00C669BB"/>
    <w:rsid w:val="00C66AC6"/>
    <w:rsid w:val="00C7010D"/>
    <w:rsid w:val="00C70E1C"/>
    <w:rsid w:val="00C71C30"/>
    <w:rsid w:val="00C72DE6"/>
    <w:rsid w:val="00C80357"/>
    <w:rsid w:val="00C817C7"/>
    <w:rsid w:val="00C86E7D"/>
    <w:rsid w:val="00C94216"/>
    <w:rsid w:val="00C947F3"/>
    <w:rsid w:val="00C96187"/>
    <w:rsid w:val="00CA0714"/>
    <w:rsid w:val="00CA0DBC"/>
    <w:rsid w:val="00CA0E57"/>
    <w:rsid w:val="00CA6A2E"/>
    <w:rsid w:val="00CB1F04"/>
    <w:rsid w:val="00CB2F67"/>
    <w:rsid w:val="00CB434D"/>
    <w:rsid w:val="00CB5689"/>
    <w:rsid w:val="00CB7A76"/>
    <w:rsid w:val="00CC051E"/>
    <w:rsid w:val="00CC0A08"/>
    <w:rsid w:val="00CC44D6"/>
    <w:rsid w:val="00CC62CC"/>
    <w:rsid w:val="00CD6741"/>
    <w:rsid w:val="00CD6D1D"/>
    <w:rsid w:val="00CD76B2"/>
    <w:rsid w:val="00CE4E76"/>
    <w:rsid w:val="00D005B8"/>
    <w:rsid w:val="00D073FE"/>
    <w:rsid w:val="00D13331"/>
    <w:rsid w:val="00D157DE"/>
    <w:rsid w:val="00D17319"/>
    <w:rsid w:val="00D203EE"/>
    <w:rsid w:val="00D2086C"/>
    <w:rsid w:val="00D2779B"/>
    <w:rsid w:val="00D27E86"/>
    <w:rsid w:val="00D30891"/>
    <w:rsid w:val="00D31443"/>
    <w:rsid w:val="00D35C46"/>
    <w:rsid w:val="00D37E22"/>
    <w:rsid w:val="00D458AA"/>
    <w:rsid w:val="00D4659B"/>
    <w:rsid w:val="00D5127F"/>
    <w:rsid w:val="00D52BC1"/>
    <w:rsid w:val="00D60646"/>
    <w:rsid w:val="00D6125D"/>
    <w:rsid w:val="00D65509"/>
    <w:rsid w:val="00D6643F"/>
    <w:rsid w:val="00D70079"/>
    <w:rsid w:val="00D727A1"/>
    <w:rsid w:val="00D73F2B"/>
    <w:rsid w:val="00D80CAE"/>
    <w:rsid w:val="00D82C56"/>
    <w:rsid w:val="00D845DA"/>
    <w:rsid w:val="00D9132C"/>
    <w:rsid w:val="00D94F29"/>
    <w:rsid w:val="00D97609"/>
    <w:rsid w:val="00D97647"/>
    <w:rsid w:val="00DA1986"/>
    <w:rsid w:val="00DA243C"/>
    <w:rsid w:val="00DA5227"/>
    <w:rsid w:val="00DA5339"/>
    <w:rsid w:val="00DA621A"/>
    <w:rsid w:val="00DA625C"/>
    <w:rsid w:val="00DA6CE4"/>
    <w:rsid w:val="00DB0299"/>
    <w:rsid w:val="00DB058F"/>
    <w:rsid w:val="00DB1F31"/>
    <w:rsid w:val="00DB4E4C"/>
    <w:rsid w:val="00DB62ED"/>
    <w:rsid w:val="00DB6C10"/>
    <w:rsid w:val="00DC1F98"/>
    <w:rsid w:val="00DC23BB"/>
    <w:rsid w:val="00DC3A4C"/>
    <w:rsid w:val="00DC4F0C"/>
    <w:rsid w:val="00DC767B"/>
    <w:rsid w:val="00DD1A7B"/>
    <w:rsid w:val="00DE18E4"/>
    <w:rsid w:val="00DE3560"/>
    <w:rsid w:val="00DE5EEF"/>
    <w:rsid w:val="00DF3E27"/>
    <w:rsid w:val="00E02216"/>
    <w:rsid w:val="00E023E4"/>
    <w:rsid w:val="00E0582D"/>
    <w:rsid w:val="00E060C4"/>
    <w:rsid w:val="00E06FA8"/>
    <w:rsid w:val="00E0752E"/>
    <w:rsid w:val="00E1108A"/>
    <w:rsid w:val="00E119DE"/>
    <w:rsid w:val="00E12173"/>
    <w:rsid w:val="00E144A2"/>
    <w:rsid w:val="00E169C7"/>
    <w:rsid w:val="00E22BA2"/>
    <w:rsid w:val="00E22D6A"/>
    <w:rsid w:val="00E247D6"/>
    <w:rsid w:val="00E274E2"/>
    <w:rsid w:val="00E27745"/>
    <w:rsid w:val="00E3326C"/>
    <w:rsid w:val="00E42373"/>
    <w:rsid w:val="00E44836"/>
    <w:rsid w:val="00E45CEC"/>
    <w:rsid w:val="00E50F24"/>
    <w:rsid w:val="00E5272E"/>
    <w:rsid w:val="00E54E5D"/>
    <w:rsid w:val="00E554CB"/>
    <w:rsid w:val="00E567D5"/>
    <w:rsid w:val="00E57C09"/>
    <w:rsid w:val="00E60995"/>
    <w:rsid w:val="00E657B4"/>
    <w:rsid w:val="00E67DCE"/>
    <w:rsid w:val="00E80F55"/>
    <w:rsid w:val="00E830EC"/>
    <w:rsid w:val="00E83115"/>
    <w:rsid w:val="00E84C54"/>
    <w:rsid w:val="00E85549"/>
    <w:rsid w:val="00E93607"/>
    <w:rsid w:val="00E955DC"/>
    <w:rsid w:val="00EA1956"/>
    <w:rsid w:val="00EA5ECD"/>
    <w:rsid w:val="00EB047C"/>
    <w:rsid w:val="00EB10BC"/>
    <w:rsid w:val="00EB2BB9"/>
    <w:rsid w:val="00EB6A79"/>
    <w:rsid w:val="00EB7C2F"/>
    <w:rsid w:val="00EC0526"/>
    <w:rsid w:val="00ED4447"/>
    <w:rsid w:val="00EE4BAA"/>
    <w:rsid w:val="00EF0943"/>
    <w:rsid w:val="00EF1407"/>
    <w:rsid w:val="00EF1F5D"/>
    <w:rsid w:val="00EF366B"/>
    <w:rsid w:val="00EF54D3"/>
    <w:rsid w:val="00EF716C"/>
    <w:rsid w:val="00F02248"/>
    <w:rsid w:val="00F03E02"/>
    <w:rsid w:val="00F05304"/>
    <w:rsid w:val="00F101AD"/>
    <w:rsid w:val="00F120E3"/>
    <w:rsid w:val="00F129F2"/>
    <w:rsid w:val="00F14AF1"/>
    <w:rsid w:val="00F158DC"/>
    <w:rsid w:val="00F171A5"/>
    <w:rsid w:val="00F23485"/>
    <w:rsid w:val="00F25552"/>
    <w:rsid w:val="00F2556A"/>
    <w:rsid w:val="00F26D21"/>
    <w:rsid w:val="00F275AA"/>
    <w:rsid w:val="00F3337C"/>
    <w:rsid w:val="00F35B84"/>
    <w:rsid w:val="00F4323A"/>
    <w:rsid w:val="00F4333B"/>
    <w:rsid w:val="00F43527"/>
    <w:rsid w:val="00F436D4"/>
    <w:rsid w:val="00F448EC"/>
    <w:rsid w:val="00F448EF"/>
    <w:rsid w:val="00F47F09"/>
    <w:rsid w:val="00F572E6"/>
    <w:rsid w:val="00F578DA"/>
    <w:rsid w:val="00F60FF0"/>
    <w:rsid w:val="00F6172A"/>
    <w:rsid w:val="00F624B2"/>
    <w:rsid w:val="00F70DC8"/>
    <w:rsid w:val="00F71F2E"/>
    <w:rsid w:val="00F750DC"/>
    <w:rsid w:val="00F75FDC"/>
    <w:rsid w:val="00F76B4C"/>
    <w:rsid w:val="00F77632"/>
    <w:rsid w:val="00F77D42"/>
    <w:rsid w:val="00F86DA9"/>
    <w:rsid w:val="00F91B00"/>
    <w:rsid w:val="00F95127"/>
    <w:rsid w:val="00F96BA4"/>
    <w:rsid w:val="00FA379A"/>
    <w:rsid w:val="00FA6677"/>
    <w:rsid w:val="00FB41B3"/>
    <w:rsid w:val="00FB6CB5"/>
    <w:rsid w:val="00FB7016"/>
    <w:rsid w:val="00FC0B95"/>
    <w:rsid w:val="00FC0FAD"/>
    <w:rsid w:val="00FC2028"/>
    <w:rsid w:val="00FC4D83"/>
    <w:rsid w:val="00FC67D7"/>
    <w:rsid w:val="00FD321A"/>
    <w:rsid w:val="00FD36A2"/>
    <w:rsid w:val="00FE1587"/>
    <w:rsid w:val="00FE522D"/>
    <w:rsid w:val="00FE58FD"/>
    <w:rsid w:val="00FF3EF7"/>
    <w:rsid w:val="00FF42EC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E47B8D"/>
  <w15:docId w15:val="{AC9EB303-8CD9-4DCC-8289-8BA41B6D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E89"/>
  </w:style>
  <w:style w:type="paragraph" w:styleId="Pidipagina">
    <w:name w:val="footer"/>
    <w:basedOn w:val="Normale"/>
    <w:link w:val="Pidipagina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E89"/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FE522D"/>
    <w:pPr>
      <w:ind w:left="720"/>
      <w:contextualSpacing/>
    </w:pPr>
  </w:style>
  <w:style w:type="table" w:styleId="Grigliatabella">
    <w:name w:val="Table Grid"/>
    <w:basedOn w:val="Tabellanormale"/>
    <w:uiPriority w:val="39"/>
    <w:rsid w:val="0034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344B5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4B5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44B5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4B53"/>
    <w:rPr>
      <w:vertAlign w:val="superscript"/>
    </w:rPr>
  </w:style>
  <w:style w:type="character" w:customStyle="1" w:styleId="ui-provider">
    <w:name w:val="ui-provider"/>
    <w:basedOn w:val="Carpredefinitoparagrafo"/>
    <w:rsid w:val="00344B53"/>
  </w:style>
  <w:style w:type="paragraph" w:styleId="NormaleWeb">
    <w:name w:val="Normal (Web)"/>
    <w:basedOn w:val="Normale"/>
    <w:uiPriority w:val="99"/>
    <w:unhideWhenUsed/>
    <w:rsid w:val="00DA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5DE9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564A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A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AF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A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AFE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84C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44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2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8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7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704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346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355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3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0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4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19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7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13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1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2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61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75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60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5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9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41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594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6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39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44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2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7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81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27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15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9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40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16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5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23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35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23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9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9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5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6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06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4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28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68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01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19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46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7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066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716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387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778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3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7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946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075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6267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74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7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58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56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9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06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1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51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64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5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59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95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16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76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9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11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07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1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2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62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59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3181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91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12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206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20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68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00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46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43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583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8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26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51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26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26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90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5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4429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19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00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41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1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4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96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67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70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565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404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59903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461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7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64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239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32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40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1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8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73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96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187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510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9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2D4E-79A4-4116-B7DD-E49BC20EE9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13</Pages>
  <Words>4191</Words>
  <Characters>23891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Luciani, Marco</dc:creator>
  <cp:keywords/>
  <dc:description/>
  <cp:lastModifiedBy>autore</cp:lastModifiedBy>
  <cp:revision>79</cp:revision>
  <dcterms:created xsi:type="dcterms:W3CDTF">2023-07-27T07:31:00Z</dcterms:created>
  <dcterms:modified xsi:type="dcterms:W3CDTF">2024-01-04T16:39:00Z</dcterms:modified>
</cp:coreProperties>
</file>