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29" w:rsidRDefault="003B2F29" w:rsidP="00044D6C">
      <w:pPr>
        <w:pStyle w:val="Didascalia"/>
        <w:tabs>
          <w:tab w:val="left" w:pos="1800"/>
        </w:tabs>
        <w:rPr>
          <w:rFonts w:ascii="Arial" w:hAnsi="Arial" w:cs="Arial"/>
          <w:szCs w:val="28"/>
        </w:rPr>
      </w:pPr>
    </w:p>
    <w:p w:rsidR="003B2F29" w:rsidRDefault="003B2F29" w:rsidP="00044D6C">
      <w:pPr>
        <w:pStyle w:val="Didascalia"/>
        <w:tabs>
          <w:tab w:val="left" w:pos="1800"/>
        </w:tabs>
        <w:rPr>
          <w:rFonts w:ascii="Arial" w:hAnsi="Arial" w:cs="Arial"/>
          <w:szCs w:val="28"/>
        </w:rPr>
      </w:pPr>
    </w:p>
    <w:p w:rsidR="003B2F29" w:rsidRDefault="003B2F29" w:rsidP="003B2F29">
      <w:pPr>
        <w:tabs>
          <w:tab w:val="left" w:pos="11160"/>
        </w:tabs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504825" cy="673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29" w:rsidRDefault="003B2F29" w:rsidP="00044D6C">
      <w:pPr>
        <w:pStyle w:val="Didascalia"/>
        <w:tabs>
          <w:tab w:val="left" w:pos="1800"/>
        </w:tabs>
        <w:rPr>
          <w:rFonts w:ascii="Arial" w:hAnsi="Arial" w:cs="Arial"/>
          <w:szCs w:val="28"/>
        </w:rPr>
      </w:pPr>
    </w:p>
    <w:p w:rsidR="00085F9D" w:rsidRDefault="00085F9D" w:rsidP="00044D6C">
      <w:pPr>
        <w:pStyle w:val="Didascalia"/>
        <w:tabs>
          <w:tab w:val="left" w:pos="1800"/>
        </w:tabs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Ministero dell’istruzione, dell’università e della ricerca</w:t>
      </w:r>
    </w:p>
    <w:p w:rsidR="00085F9D" w:rsidRDefault="00085F9D" w:rsidP="00085F9D">
      <w:pPr>
        <w:pStyle w:val="Titolo1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Ufficio Scolastico Regionale per la Puglia</w:t>
      </w:r>
    </w:p>
    <w:p w:rsidR="00085F9D" w:rsidRPr="003977C0" w:rsidRDefault="00085F9D" w:rsidP="00085F9D">
      <w:pPr>
        <w:pStyle w:val="Titolo1"/>
        <w:rPr>
          <w:rFonts w:ascii="Arial" w:hAnsi="Arial" w:cs="Arial"/>
          <w:b/>
        </w:rPr>
      </w:pPr>
      <w:r w:rsidRPr="003977C0">
        <w:rPr>
          <w:rFonts w:ascii="Arial" w:hAnsi="Arial" w:cs="Arial"/>
          <w:b/>
        </w:rPr>
        <w:t>Direzione Generale</w:t>
      </w:r>
    </w:p>
    <w:p w:rsidR="00085F9D" w:rsidRPr="003B2F29" w:rsidRDefault="00085F9D" w:rsidP="00085F9D">
      <w:pPr>
        <w:pStyle w:val="Titolo2"/>
        <w:rPr>
          <w:rFonts w:cs="Arial"/>
          <w:i/>
          <w:sz w:val="24"/>
          <w:szCs w:val="24"/>
        </w:rPr>
      </w:pPr>
      <w:r w:rsidRPr="003B2F29">
        <w:rPr>
          <w:rFonts w:ascii="Times New Roman" w:hAnsi="Times New Roman"/>
          <w:i/>
          <w:sz w:val="24"/>
          <w:szCs w:val="24"/>
        </w:rPr>
        <w:t>UFFICIO  I - Affari generali, personale e servizi della Direzione Generale. Comunicazione</w:t>
      </w:r>
    </w:p>
    <w:p w:rsidR="00085F9D" w:rsidRDefault="00085F9D" w:rsidP="00085F9D">
      <w:pPr>
        <w:rPr>
          <w:sz w:val="22"/>
          <w:szCs w:val="22"/>
        </w:rPr>
      </w:pPr>
    </w:p>
    <w:p w:rsidR="00085F9D" w:rsidRDefault="00085F9D" w:rsidP="00085F9D">
      <w:pPr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AOODRPU 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 n.</w:t>
      </w:r>
      <w:r w:rsidR="00E95145">
        <w:rPr>
          <w:sz w:val="22"/>
          <w:szCs w:val="22"/>
        </w:rPr>
        <w:t>7212</w:t>
      </w:r>
      <w:r>
        <w:rPr>
          <w:sz w:val="22"/>
          <w:szCs w:val="22"/>
        </w:rPr>
        <w:t xml:space="preserve">                                                                                                       </w:t>
      </w:r>
      <w:r w:rsidR="003B2F29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Bari, 9/7/2015 </w:t>
      </w:r>
    </w:p>
    <w:p w:rsidR="00085F9D" w:rsidRDefault="00085F9D" w:rsidP="00085F9D">
      <w:pPr>
        <w:rPr>
          <w:sz w:val="22"/>
          <w:szCs w:val="22"/>
        </w:rPr>
      </w:pPr>
    </w:p>
    <w:p w:rsidR="00085F9D" w:rsidRDefault="00085F9D" w:rsidP="00085F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IL  DIRETTORE  GENERALE</w:t>
      </w:r>
    </w:p>
    <w:tbl>
      <w:tblPr>
        <w:tblpPr w:leftFromText="141" w:rightFromText="141" w:vertAnchor="text" w:horzAnchor="margin" w:tblpXSpec="center" w:tblpY="508"/>
        <w:tblW w:w="97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7440"/>
      </w:tblGrid>
      <w:tr w:rsidR="003B2F29" w:rsidTr="00077615">
        <w:tc>
          <w:tcPr>
            <w:tcW w:w="2338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VISTA</w:t>
            </w:r>
          </w:p>
        </w:tc>
        <w:tc>
          <w:tcPr>
            <w:tcW w:w="7440" w:type="dxa"/>
            <w:hideMark/>
          </w:tcPr>
          <w:p w:rsidR="003B2F29" w:rsidRDefault="003B2F29" w:rsidP="003B2F29">
            <w:pPr>
              <w:spacing w:after="120"/>
              <w:ind w:left="1418" w:hanging="14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legge 23 dicembre 1998, n. </w:t>
            </w:r>
            <w:smartTag w:uri="urn:schemas-microsoft-com:office:smarttags" w:element="metricconverter">
              <w:smartTagPr>
                <w:attr w:name="ProductID" w:val="448, in"/>
              </w:smartTagPr>
              <w:r>
                <w:rPr>
                  <w:sz w:val="24"/>
                  <w:szCs w:val="24"/>
                </w:rPr>
                <w:t>448, in</w:t>
              </w:r>
            </w:smartTag>
            <w:r>
              <w:rPr>
                <w:sz w:val="24"/>
                <w:szCs w:val="24"/>
              </w:rPr>
              <w:t xml:space="preserve"> particolare l’art. 26, comma 8;</w:t>
            </w:r>
          </w:p>
        </w:tc>
      </w:tr>
      <w:tr w:rsidR="003B2F29" w:rsidTr="00077615">
        <w:trPr>
          <w:trHeight w:val="815"/>
        </w:trPr>
        <w:tc>
          <w:tcPr>
            <w:tcW w:w="2338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VISTA</w:t>
            </w:r>
          </w:p>
        </w:tc>
        <w:tc>
          <w:tcPr>
            <w:tcW w:w="7440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legge 12 novembre 2011, n.183, con particolare riferimento all’art. 4 comma 68, che ha ridotto a 300 le unità di personale scolastico da utilizzare in compiti connessi con l’autonomia;</w:t>
            </w:r>
          </w:p>
        </w:tc>
      </w:tr>
      <w:tr w:rsidR="003B2F29" w:rsidTr="00077615">
        <w:tc>
          <w:tcPr>
            <w:tcW w:w="2338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VISTA</w:t>
            </w:r>
          </w:p>
        </w:tc>
        <w:tc>
          <w:tcPr>
            <w:tcW w:w="7440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legge 24 dicembre 2012, n. 228, con particolare riferimento all’art. 1 comma 57, lettera a), che ha ridotto a 150 le unità di personale scolastico da utilizzare in compiti connessi con l’autonomia;</w:t>
            </w:r>
          </w:p>
        </w:tc>
      </w:tr>
      <w:tr w:rsidR="003B2F29" w:rsidTr="00077615">
        <w:tc>
          <w:tcPr>
            <w:tcW w:w="2338" w:type="dxa"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VISTO</w:t>
            </w:r>
          </w:p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</w:p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VISTO</w:t>
            </w:r>
          </w:p>
        </w:tc>
        <w:tc>
          <w:tcPr>
            <w:tcW w:w="7440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D.P.C.M. n. 98 dell’11 febbraio 2014, recante il Regolamento di organizzazione del Ministero dell’istruzione, dell’università e della ricerca;</w:t>
            </w:r>
          </w:p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D.M. n. 753 del 26 settembre 2014, relativo all’individuazione degli uffici di livello dirigenziale non generale dell’Amministrazione centrale e definizione organizzativa e dei compiti degli uffici di livello dirigenziale non generale, istituiti presso gli Uffici scolastici regionali, ai sensi degli articoli 8, commi 8 e 10 del Decreto del Presidente del Consiglio dei Ministri 11 febbraio 2014, n. 98;</w:t>
            </w:r>
          </w:p>
        </w:tc>
      </w:tr>
      <w:tr w:rsidR="003B2F29" w:rsidTr="00077615">
        <w:tc>
          <w:tcPr>
            <w:tcW w:w="2338" w:type="dxa"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VISTA</w:t>
            </w:r>
          </w:p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</w:p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</w:p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7440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circolare ministeriale n. 14 del 3 luglio 2015 – </w:t>
            </w:r>
            <w:proofErr w:type="spellStart"/>
            <w:r>
              <w:rPr>
                <w:sz w:val="24"/>
                <w:szCs w:val="24"/>
              </w:rPr>
              <w:t>prot</w:t>
            </w:r>
            <w:proofErr w:type="spellEnd"/>
            <w:r>
              <w:rPr>
                <w:sz w:val="24"/>
                <w:szCs w:val="24"/>
              </w:rPr>
              <w:t>. 18600 - con  la quale viene disciplinata l’assegnazione dei docenti e dei dirigenti scolastici per lo svolgimento dei compiti connessi con l’attuazione dell’autonomia scolastica presso gli Uffici dell’Amministrazione centrale e gli Uffici scolastici regionali per l’anno scolastico 2015/2016, nonché viene fissato al 9 luglio 2015  il termine entro cui rendere note le relative procedure di selezione;</w:t>
            </w:r>
          </w:p>
        </w:tc>
      </w:tr>
      <w:tr w:rsidR="003B2F29" w:rsidTr="00077615">
        <w:tc>
          <w:tcPr>
            <w:tcW w:w="2338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TENUTO  CONTO</w:t>
            </w:r>
          </w:p>
        </w:tc>
        <w:tc>
          <w:tcPr>
            <w:tcW w:w="7440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 la medesima circolare n. 14 del 3 luglio 2015, sopra citata, ha previsto che all’atto di entrata in vigore del disegno di legge recante la riforma del sistema nazionale di istruzione e formazione e delega per il riordino delle disposizioni legislative vigenti, il numero dei posti, indicati nel piano di ripartizione (all. 1 della Circolare), si intende automaticamente raddoppiato per ciascun Dipartimento, Direzione Generale o Ufficio Scolastico Regionale, ad eccezione del posto riservato al docente di lingua slovena;</w:t>
            </w:r>
          </w:p>
        </w:tc>
      </w:tr>
      <w:tr w:rsidR="003B2F29" w:rsidTr="00077615">
        <w:tc>
          <w:tcPr>
            <w:tcW w:w="2338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VISTO</w:t>
            </w:r>
          </w:p>
        </w:tc>
        <w:tc>
          <w:tcPr>
            <w:tcW w:w="7440" w:type="dxa"/>
            <w:hideMark/>
          </w:tcPr>
          <w:p w:rsidR="003B2F29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decreto dipartimentale n. 69 del 7 luglio 2015, con il quale è stato ripartito il contingente di 15 posti, per l’anno scolastico 2015/2016, tra il gli Uffici di supporto del Dipartimento e le Direzioni Generali afferenti allo stesso;</w:t>
            </w:r>
          </w:p>
        </w:tc>
      </w:tr>
      <w:tr w:rsidR="003B2F29" w:rsidTr="00077615">
        <w:trPr>
          <w:trHeight w:val="990"/>
        </w:trPr>
        <w:tc>
          <w:tcPr>
            <w:tcW w:w="2338" w:type="dxa"/>
            <w:hideMark/>
          </w:tcPr>
          <w:p w:rsidR="003B2F29" w:rsidRPr="00F267A5" w:rsidRDefault="003B2F29" w:rsidP="003B2F29">
            <w:pPr>
              <w:spacing w:after="120"/>
              <w:jc w:val="both"/>
              <w:rPr>
                <w:sz w:val="24"/>
                <w:szCs w:val="24"/>
              </w:rPr>
            </w:pPr>
            <w:r w:rsidRPr="00F267A5">
              <w:rPr>
                <w:sz w:val="24"/>
                <w:szCs w:val="24"/>
              </w:rPr>
              <w:lastRenderedPageBreak/>
              <w:t>RILEVATO</w:t>
            </w:r>
          </w:p>
        </w:tc>
        <w:tc>
          <w:tcPr>
            <w:tcW w:w="7440" w:type="dxa"/>
          </w:tcPr>
          <w:p w:rsidR="003B2F29" w:rsidRPr="00F267A5" w:rsidRDefault="003B2F29" w:rsidP="003B4A91">
            <w:pPr>
              <w:spacing w:after="120"/>
              <w:jc w:val="both"/>
              <w:rPr>
                <w:sz w:val="24"/>
                <w:szCs w:val="24"/>
              </w:rPr>
            </w:pPr>
            <w:r w:rsidRPr="00F267A5">
              <w:rPr>
                <w:sz w:val="24"/>
                <w:szCs w:val="24"/>
              </w:rPr>
              <w:t>che alla Direzione generale dell'Ufficio Scolastico Regionale per la Puglia  sono stati assegnati n. 8  posti</w:t>
            </w:r>
            <w:r w:rsidR="003B4A91" w:rsidRPr="00F267A5">
              <w:rPr>
                <w:sz w:val="24"/>
                <w:szCs w:val="24"/>
              </w:rPr>
              <w:t xml:space="preserve">  </w:t>
            </w:r>
          </w:p>
        </w:tc>
      </w:tr>
    </w:tbl>
    <w:p w:rsidR="00085F9D" w:rsidRDefault="00085F9D" w:rsidP="00085F9D">
      <w:pPr>
        <w:jc w:val="center"/>
        <w:rPr>
          <w:sz w:val="24"/>
          <w:szCs w:val="24"/>
        </w:rPr>
      </w:pPr>
    </w:p>
    <w:p w:rsidR="003F66DF" w:rsidRDefault="003F66DF" w:rsidP="003F66DF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RENDE NOTO</w:t>
      </w:r>
      <w:r w:rsidR="00D43792">
        <w:rPr>
          <w:b/>
          <w:sz w:val="24"/>
          <w:szCs w:val="24"/>
        </w:rPr>
        <w:t xml:space="preserve"> </w:t>
      </w:r>
    </w:p>
    <w:p w:rsidR="00D43792" w:rsidRPr="00FB0584" w:rsidRDefault="00D43792" w:rsidP="00D43792">
      <w:pPr>
        <w:ind w:firstLine="567"/>
        <w:jc w:val="both"/>
        <w:rPr>
          <w:b/>
          <w:sz w:val="24"/>
          <w:szCs w:val="24"/>
        </w:rPr>
      </w:pPr>
      <w:r w:rsidRPr="00FB0584">
        <w:rPr>
          <w:sz w:val="24"/>
          <w:szCs w:val="24"/>
        </w:rPr>
        <w:t>S</w:t>
      </w:r>
      <w:r w:rsidRPr="00FB0584">
        <w:rPr>
          <w:b/>
          <w:sz w:val="24"/>
          <w:szCs w:val="24"/>
        </w:rPr>
        <w:t>i ritiene opportuno richiamare l’attenzione sul fatto che, a seguito della rideterminazione del contingente di posti assegnato per l’a.s.2015/2016,  la procedura di selezione di cui al presente avviso è rivolta a tutto il personale docente e dirigente interessato ad ottenere l’assegnazione, compreso il personale attualmente in posizione di comando indipendentemente dalla data di scadenza dello stesso disposto ai sensi della precedente normativa.</w:t>
      </w:r>
    </w:p>
    <w:p w:rsidR="00FB0584" w:rsidRPr="00FB0584" w:rsidRDefault="00FB0584" w:rsidP="00FB0584">
      <w:pPr>
        <w:jc w:val="both"/>
        <w:rPr>
          <w:sz w:val="24"/>
          <w:szCs w:val="24"/>
        </w:rPr>
      </w:pPr>
    </w:p>
    <w:p w:rsidR="00FB0584" w:rsidRDefault="003F66DF" w:rsidP="00D4379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E’ indetta la procedura di selezione </w:t>
      </w:r>
      <w:r w:rsidRPr="00F267A5">
        <w:rPr>
          <w:sz w:val="24"/>
          <w:szCs w:val="24"/>
        </w:rPr>
        <w:t xml:space="preserve">per </w:t>
      </w:r>
      <w:r w:rsidRPr="00F267A5">
        <w:rPr>
          <w:b/>
          <w:sz w:val="24"/>
          <w:szCs w:val="24"/>
        </w:rPr>
        <w:t xml:space="preserve">n. 8 (otto) </w:t>
      </w:r>
      <w:r w:rsidRPr="00F267A5">
        <w:rPr>
          <w:sz w:val="24"/>
          <w:szCs w:val="24"/>
        </w:rPr>
        <w:t>unità di personale docente e dirigente scolastico ai  sensi dell’art. 26, comma 8, della legge n. 448/1998 e successive modificazioni, da destinare a prestare servizio, in posizione di fuori ruolo, presso la Direzione generale dell'Ufficio Scolastico Regionale per la Puglia, per lo svolgimento di compiti</w:t>
      </w:r>
      <w:r>
        <w:rPr>
          <w:sz w:val="24"/>
          <w:szCs w:val="24"/>
        </w:rPr>
        <w:t xml:space="preserve"> connessi con l’autonomia scolastica per </w:t>
      </w:r>
      <w:proofErr w:type="spellStart"/>
      <w:r>
        <w:rPr>
          <w:sz w:val="24"/>
          <w:szCs w:val="24"/>
        </w:rPr>
        <w:t>l’a.s.</w:t>
      </w:r>
      <w:proofErr w:type="spellEnd"/>
      <w:r>
        <w:rPr>
          <w:sz w:val="24"/>
          <w:szCs w:val="24"/>
        </w:rPr>
        <w:t xml:space="preserve"> 2015/2016.</w:t>
      </w:r>
    </w:p>
    <w:p w:rsidR="004C4289" w:rsidRDefault="004C4289" w:rsidP="00D43792">
      <w:pPr>
        <w:ind w:firstLine="567"/>
        <w:jc w:val="both"/>
        <w:rPr>
          <w:sz w:val="22"/>
          <w:szCs w:val="22"/>
        </w:rPr>
      </w:pPr>
    </w:p>
    <w:p w:rsidR="007B3BB2" w:rsidRPr="007B3BB2" w:rsidRDefault="007B3BB2" w:rsidP="00D43792">
      <w:pPr>
        <w:ind w:firstLine="567"/>
        <w:jc w:val="both"/>
        <w:rPr>
          <w:sz w:val="24"/>
          <w:szCs w:val="24"/>
        </w:rPr>
      </w:pPr>
      <w:r w:rsidRPr="007B3BB2">
        <w:rPr>
          <w:sz w:val="24"/>
          <w:szCs w:val="24"/>
        </w:rPr>
        <w:t xml:space="preserve">L’area di utilizzazione del personale  da assegnare presso la Direzione </w:t>
      </w:r>
      <w:r>
        <w:rPr>
          <w:sz w:val="24"/>
          <w:szCs w:val="24"/>
        </w:rPr>
        <w:t>G</w:t>
      </w:r>
      <w:r w:rsidRPr="007B3BB2">
        <w:rPr>
          <w:sz w:val="24"/>
          <w:szCs w:val="24"/>
        </w:rPr>
        <w:t>enerale dell'Ufficio Scolastico Regionale per la Puglia sarà effettuata</w:t>
      </w:r>
      <w:r>
        <w:rPr>
          <w:sz w:val="24"/>
          <w:szCs w:val="24"/>
        </w:rPr>
        <w:t xml:space="preserve"> </w:t>
      </w:r>
      <w:r w:rsidRPr="007B3BB2">
        <w:rPr>
          <w:sz w:val="24"/>
          <w:szCs w:val="24"/>
        </w:rPr>
        <w:t xml:space="preserve"> senza distinzione tra le diverse aree di intervento</w:t>
      </w:r>
      <w:r>
        <w:rPr>
          <w:sz w:val="24"/>
          <w:szCs w:val="24"/>
        </w:rPr>
        <w:t>,</w:t>
      </w:r>
      <w:r w:rsidRPr="007B3BB2">
        <w:rPr>
          <w:sz w:val="24"/>
          <w:szCs w:val="24"/>
        </w:rPr>
        <w:t xml:space="preserve"> come sotto specificate, stante l’intima interconnessione tra i compiti facenti capo alle aree medesime, tutte preordinate al miglior perseguimento delle finalità proprie dell’autonomia scolastica</w:t>
      </w:r>
      <w:r w:rsidR="001A186D">
        <w:rPr>
          <w:sz w:val="24"/>
          <w:szCs w:val="24"/>
        </w:rPr>
        <w:t xml:space="preserve"> ed, altresì </w:t>
      </w:r>
      <w:r w:rsidRPr="007B3BB2">
        <w:rPr>
          <w:sz w:val="24"/>
          <w:szCs w:val="24"/>
        </w:rPr>
        <w:t>considera</w:t>
      </w:r>
      <w:r w:rsidR="001A186D">
        <w:rPr>
          <w:sz w:val="24"/>
          <w:szCs w:val="24"/>
        </w:rPr>
        <w:t>ndo</w:t>
      </w:r>
      <w:r w:rsidRPr="007B3BB2">
        <w:rPr>
          <w:sz w:val="24"/>
          <w:szCs w:val="24"/>
        </w:rPr>
        <w:t xml:space="preserve"> principalmente i prevalenti compiti di programmazione, indirizzo e coordinamento riservati a questo Ufficio S.R. dove resta più funzionale l’assegnazione in considerazione dell’attuale assetto organizzativo dell’Amministrazione periferica.</w:t>
      </w:r>
    </w:p>
    <w:p w:rsidR="007B3BB2" w:rsidRDefault="007B3BB2" w:rsidP="007B3BB2">
      <w:pPr>
        <w:ind w:left="360"/>
        <w:jc w:val="both"/>
        <w:rPr>
          <w:b/>
          <w:sz w:val="22"/>
          <w:szCs w:val="22"/>
        </w:rPr>
      </w:pPr>
    </w:p>
    <w:p w:rsidR="004C4289" w:rsidRPr="007B3BB2" w:rsidRDefault="004C4289" w:rsidP="004C428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Per la concreta individuazione dei compiti connessi con l’attuazione dell’autonomia scolastica, si fa riferimento, in via esemplificativa alle seguenti aree: </w:t>
      </w:r>
    </w:p>
    <w:p w:rsidR="00233C86" w:rsidRPr="00A164F8" w:rsidRDefault="00FB0584" w:rsidP="00A164F8">
      <w:pPr>
        <w:pStyle w:val="NormaleWeb"/>
        <w:numPr>
          <w:ilvl w:val="0"/>
          <w:numId w:val="3"/>
        </w:numPr>
        <w:jc w:val="both"/>
      </w:pPr>
      <w:r w:rsidRPr="00A164F8">
        <w:t>s</w:t>
      </w:r>
      <w:r w:rsidRPr="00A164F8">
        <w:rPr>
          <w:b/>
        </w:rPr>
        <w:t>ostegno e supporto alla ricerca educativa e alla didattica, in relazione all’attuazione dell’autonomia:</w:t>
      </w:r>
      <w:r w:rsidRPr="00A164F8">
        <w:t xml:space="preserve"> supporto alla pianificazione dell’offerta formativa, con particolare riferimento ai processi d’innovazione in atto, iniziative di continuità tra i vari gradi di scuola, organizzazione flessibile del tempo scuola, formazione e aggiornamento del personale, innovazione didattica, progetti di valutazione e qualità della formazione, progetti di carattere internazionale, attività di orientamento, attuazione del diritto-dovere all’istruzione e all’istruzione e formazione professionale, ecc.;</w:t>
      </w:r>
    </w:p>
    <w:p w:rsidR="00FB0584" w:rsidRPr="00A164F8" w:rsidRDefault="00FB0584" w:rsidP="00A164F8">
      <w:pPr>
        <w:pStyle w:val="NormaleWeb"/>
        <w:numPr>
          <w:ilvl w:val="0"/>
          <w:numId w:val="3"/>
        </w:numPr>
        <w:jc w:val="both"/>
      </w:pPr>
      <w:r w:rsidRPr="00A164F8">
        <w:t>s</w:t>
      </w:r>
      <w:r w:rsidRPr="00A164F8">
        <w:rPr>
          <w:b/>
        </w:rPr>
        <w:t xml:space="preserve">ostegno e supporto per l’attuazione dell’autonomia nel territorio, ai processi organizzativi e valutativi dell’autonomia scolastica </w:t>
      </w:r>
      <w:r w:rsidRPr="00A164F8">
        <w:t>(documentazione, consulenza, iniziative di sportello, monitoraggio, valutazione ecc.);</w:t>
      </w:r>
    </w:p>
    <w:p w:rsidR="00FB0584" w:rsidRPr="00A164F8" w:rsidRDefault="00FB0584" w:rsidP="00A164F8">
      <w:pPr>
        <w:pStyle w:val="NormaleWeb"/>
        <w:numPr>
          <w:ilvl w:val="0"/>
          <w:numId w:val="3"/>
        </w:numPr>
        <w:jc w:val="both"/>
      </w:pPr>
      <w:r w:rsidRPr="00A164F8">
        <w:rPr>
          <w:b/>
        </w:rPr>
        <w:t>sostegno alla persona e alla partecipazione studentesca:</w:t>
      </w:r>
      <w:r w:rsidRPr="00A164F8">
        <w:t xml:space="preserve"> alla educazione degli adulti, educazione alla convivenza civile (alla cittadinanza, stradale, ambientale, alla salute, alimentare, all’affettività), integrazione scolastica dei soggetti disabili, pari opportunità donna-uomo, dispersione scolastica, disagi della condizione giovanile, consulte provinciali studentesche, orientamento scolastico, attività complementari e integrative;</w:t>
      </w:r>
    </w:p>
    <w:p w:rsidR="00FB0584" w:rsidRPr="00A164F8" w:rsidRDefault="00FB0584" w:rsidP="00A164F8">
      <w:pPr>
        <w:pStyle w:val="NormaleWeb"/>
        <w:numPr>
          <w:ilvl w:val="0"/>
          <w:numId w:val="3"/>
        </w:numPr>
        <w:jc w:val="both"/>
      </w:pPr>
      <w:r w:rsidRPr="00A164F8">
        <w:rPr>
          <w:b/>
        </w:rPr>
        <w:t xml:space="preserve">raccordi interistituzionali </w:t>
      </w:r>
      <w:r w:rsidRPr="00A164F8">
        <w:t xml:space="preserve">(alternanza scuola-lavoro, esperienze formative e </w:t>
      </w:r>
      <w:r w:rsidRPr="00A164F8">
        <w:rPr>
          <w:i/>
        </w:rPr>
        <w:t>stage</w:t>
      </w:r>
      <w:r w:rsidRPr="00A164F8">
        <w:t>) istruzione e formazione superiore integrata, rapporti col territorio;</w:t>
      </w:r>
    </w:p>
    <w:p w:rsidR="00FB0584" w:rsidRPr="00A164F8" w:rsidRDefault="00FB0584" w:rsidP="00A164F8">
      <w:pPr>
        <w:pStyle w:val="NormaleWeb"/>
        <w:numPr>
          <w:ilvl w:val="0"/>
          <w:numId w:val="3"/>
        </w:numPr>
        <w:jc w:val="both"/>
      </w:pPr>
      <w:r w:rsidRPr="00A164F8">
        <w:rPr>
          <w:b/>
        </w:rPr>
        <w:t xml:space="preserve">gestione e organizzazione, ivi compresi i supporti informativi </w:t>
      </w:r>
      <w:r w:rsidRPr="00A164F8">
        <w:t>(organi collegiali, attivazione di reti di scuole, utilizzo delle nuove tecnologie e innovazione digitale, rilevazioni statistiche comparative di carattere nazionale ecc.).</w:t>
      </w:r>
    </w:p>
    <w:p w:rsidR="003F66DF" w:rsidRDefault="003F66DF" w:rsidP="003F66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L’assegnazione, mediante collocamento fuori ruolo, ha durata per l’anno scolastico 2015/2016.</w:t>
      </w:r>
    </w:p>
    <w:p w:rsidR="00080776" w:rsidRDefault="00080776" w:rsidP="00C35720">
      <w:pPr>
        <w:pStyle w:val="Corpotesto"/>
        <w:ind w:firstLine="840"/>
        <w:jc w:val="both"/>
        <w:rPr>
          <w:sz w:val="24"/>
          <w:szCs w:val="24"/>
        </w:rPr>
      </w:pPr>
    </w:p>
    <w:p w:rsidR="001A186D" w:rsidRDefault="001A186D" w:rsidP="00C35720">
      <w:pPr>
        <w:pStyle w:val="Corpotesto"/>
        <w:ind w:firstLine="840"/>
        <w:jc w:val="both"/>
        <w:rPr>
          <w:sz w:val="24"/>
          <w:szCs w:val="24"/>
        </w:rPr>
      </w:pPr>
    </w:p>
    <w:p w:rsidR="001A186D" w:rsidRDefault="001A186D" w:rsidP="00C35720">
      <w:pPr>
        <w:pStyle w:val="Corpotesto"/>
        <w:ind w:firstLine="840"/>
        <w:jc w:val="both"/>
        <w:rPr>
          <w:sz w:val="24"/>
          <w:szCs w:val="24"/>
        </w:rPr>
      </w:pPr>
    </w:p>
    <w:p w:rsidR="004C4289" w:rsidRDefault="004C4289" w:rsidP="00C35720">
      <w:pPr>
        <w:pStyle w:val="Corpotesto"/>
        <w:ind w:firstLine="840"/>
        <w:jc w:val="both"/>
        <w:rPr>
          <w:sz w:val="24"/>
          <w:szCs w:val="24"/>
        </w:rPr>
      </w:pPr>
    </w:p>
    <w:p w:rsidR="007536C1" w:rsidRDefault="003F66DF" w:rsidP="00C35720">
      <w:pPr>
        <w:pStyle w:val="Corpotesto"/>
        <w:ind w:firstLine="8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Le domande del personale interessato devono essere inviate, </w:t>
      </w:r>
      <w:r>
        <w:rPr>
          <w:b/>
          <w:sz w:val="24"/>
          <w:szCs w:val="24"/>
          <w:u w:val="single"/>
        </w:rPr>
        <w:t>entro e non oltre il 16 luglio 2015, ore 23:59,</w:t>
      </w:r>
      <w:r w:rsidR="00C35720">
        <w:rPr>
          <w:sz w:val="24"/>
          <w:szCs w:val="24"/>
        </w:rPr>
        <w:t xml:space="preserve">  </w:t>
      </w:r>
      <w:r w:rsidR="00C35720">
        <w:rPr>
          <w:sz w:val="22"/>
          <w:szCs w:val="22"/>
        </w:rPr>
        <w:t xml:space="preserve">a mezzo raccomandata con avviso di ricevimento (farà fede il timbro a data dell’Ufficio Postale accettante) o tramite PEC all’indirizzo </w:t>
      </w:r>
      <w:hyperlink r:id="rId8" w:history="1">
        <w:r w:rsidR="00C35720">
          <w:rPr>
            <w:rStyle w:val="Collegamentoipertestuale"/>
            <w:sz w:val="22"/>
            <w:szCs w:val="22"/>
          </w:rPr>
          <w:t>drpu@postacert.istruzione.it</w:t>
        </w:r>
      </w:hyperlink>
      <w:r w:rsidR="00C35720">
        <w:rPr>
          <w:sz w:val="22"/>
          <w:szCs w:val="22"/>
        </w:rPr>
        <w:t xml:space="preserve"> entro il termine predetto, u</w:t>
      </w:r>
      <w:r>
        <w:rPr>
          <w:sz w:val="24"/>
          <w:szCs w:val="24"/>
        </w:rPr>
        <w:t xml:space="preserve">tilizzando </w:t>
      </w:r>
      <w:r w:rsidRPr="009760A0">
        <w:rPr>
          <w:sz w:val="24"/>
          <w:szCs w:val="24"/>
        </w:rPr>
        <w:t xml:space="preserve">il modello </w:t>
      </w:r>
      <w:r w:rsidR="007536C1" w:rsidRPr="009760A0">
        <w:rPr>
          <w:sz w:val="24"/>
          <w:szCs w:val="24"/>
        </w:rPr>
        <w:t>di cui all'ALLEGATO 1.</w:t>
      </w:r>
      <w:r>
        <w:rPr>
          <w:b/>
          <w:sz w:val="24"/>
          <w:szCs w:val="24"/>
        </w:rPr>
        <w:t xml:space="preserve"> </w:t>
      </w:r>
    </w:p>
    <w:p w:rsidR="00080776" w:rsidRDefault="00080776" w:rsidP="003F66DF">
      <w:pPr>
        <w:ind w:firstLine="567"/>
        <w:jc w:val="both"/>
        <w:rPr>
          <w:sz w:val="24"/>
          <w:szCs w:val="24"/>
        </w:rPr>
      </w:pPr>
    </w:p>
    <w:p w:rsidR="003F66DF" w:rsidRDefault="007536C1" w:rsidP="003F66DF">
      <w:pPr>
        <w:ind w:firstLine="567"/>
        <w:jc w:val="both"/>
        <w:rPr>
          <w:sz w:val="24"/>
          <w:szCs w:val="24"/>
        </w:rPr>
      </w:pPr>
      <w:r w:rsidRPr="00233C86">
        <w:rPr>
          <w:sz w:val="24"/>
          <w:szCs w:val="24"/>
        </w:rPr>
        <w:t>La</w:t>
      </w:r>
      <w:r w:rsidR="003F66DF">
        <w:rPr>
          <w:sz w:val="24"/>
          <w:szCs w:val="24"/>
        </w:rPr>
        <w:t xml:space="preserve"> domanda, debitamente sottoscritta dall’interessato, deve contenere le seguenti indicazioni: </w:t>
      </w:r>
    </w:p>
    <w:p w:rsidR="003F66DF" w:rsidRDefault="003F66DF" w:rsidP="003F66D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cognome, nome, luogo e data di nascita;</w:t>
      </w:r>
    </w:p>
    <w:p w:rsidR="003F66DF" w:rsidRDefault="003F66DF" w:rsidP="003F66D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qualifica (se dirigente o docente), materia di insegnamento;</w:t>
      </w:r>
    </w:p>
    <w:p w:rsidR="003F66DF" w:rsidRDefault="003F66DF" w:rsidP="003F66D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sede di titolarità e sede di servizio in caso siano diverse;</w:t>
      </w:r>
    </w:p>
    <w:p w:rsidR="003F66DF" w:rsidRDefault="003F66DF" w:rsidP="003F66D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data di immissione in ruolo;</w:t>
      </w:r>
    </w:p>
    <w:p w:rsidR="00A775A0" w:rsidRDefault="00A775A0" w:rsidP="00A775A0">
      <w:pPr>
        <w:pStyle w:val="Corpotesto"/>
        <w:numPr>
          <w:ilvl w:val="0"/>
          <w:numId w:val="2"/>
        </w:numPr>
        <w:overflowPunct/>
        <w:autoSpaceDE/>
        <w:autoSpaceDN/>
        <w:adjustRightInd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si intende concorrere per i posti assegnati all’Ufficio Scolastico Regionale per </w:t>
      </w:r>
      <w:smartTag w:uri="urn:schemas-microsoft-com:office:smarttags" w:element="PersonName">
        <w:smartTagPr>
          <w:attr w:name="ProductID" w:val="la Puglia"/>
        </w:smartTagPr>
        <w:r>
          <w:rPr>
            <w:sz w:val="22"/>
            <w:szCs w:val="22"/>
          </w:rPr>
          <w:t>la Puglia</w:t>
        </w:r>
      </w:smartTag>
      <w:r>
        <w:rPr>
          <w:sz w:val="22"/>
          <w:szCs w:val="22"/>
        </w:rPr>
        <w:t xml:space="preserve">, Direzione Generale, con possibilità di affidamento temporaneo, da parte del Direttore Generale, di specifiche funzioni </w:t>
      </w:r>
      <w:r w:rsidRPr="002E6631">
        <w:rPr>
          <w:b/>
          <w:i/>
          <w:sz w:val="22"/>
          <w:szCs w:val="22"/>
        </w:rPr>
        <w:t>da svolgere anche a  livello territoriale</w:t>
      </w:r>
      <w:r>
        <w:rPr>
          <w:sz w:val="22"/>
          <w:szCs w:val="22"/>
        </w:rPr>
        <w:t xml:space="preserve">. </w:t>
      </w:r>
    </w:p>
    <w:p w:rsidR="00A775A0" w:rsidRDefault="00A775A0" w:rsidP="00A775A0">
      <w:pPr>
        <w:ind w:left="283"/>
        <w:jc w:val="both"/>
        <w:rPr>
          <w:sz w:val="24"/>
          <w:szCs w:val="24"/>
        </w:rPr>
      </w:pPr>
    </w:p>
    <w:p w:rsidR="00A775A0" w:rsidRPr="007A5A80" w:rsidRDefault="00A775A0" w:rsidP="00A775A0">
      <w:pPr>
        <w:pStyle w:val="Corpotesto"/>
        <w:ind w:firstLine="851"/>
        <w:rPr>
          <w:b/>
          <w:sz w:val="22"/>
          <w:szCs w:val="22"/>
          <w:u w:val="single"/>
        </w:rPr>
      </w:pPr>
      <w:r w:rsidRPr="007A5A80">
        <w:rPr>
          <w:b/>
          <w:sz w:val="22"/>
          <w:szCs w:val="22"/>
          <w:u w:val="single"/>
        </w:rPr>
        <w:t>In allegato alla domanda dovranno essere trasmessi:</w:t>
      </w:r>
    </w:p>
    <w:p w:rsidR="00A775A0" w:rsidRDefault="00A775A0" w:rsidP="003F66DF">
      <w:pPr>
        <w:ind w:firstLine="567"/>
        <w:jc w:val="both"/>
        <w:rPr>
          <w:sz w:val="24"/>
          <w:szCs w:val="24"/>
        </w:rPr>
      </w:pPr>
    </w:p>
    <w:p w:rsidR="00A775A0" w:rsidRPr="00A775A0" w:rsidRDefault="00A775A0" w:rsidP="00A775A0">
      <w:pPr>
        <w:pStyle w:val="Corpotesto"/>
        <w:numPr>
          <w:ilvl w:val="1"/>
          <w:numId w:val="5"/>
        </w:numPr>
        <w:tabs>
          <w:tab w:val="clear" w:pos="1193"/>
        </w:tabs>
        <w:overflowPunct/>
        <w:autoSpaceDE/>
        <w:autoSpaceDN/>
        <w:adjustRightInd/>
        <w:spacing w:after="0"/>
        <w:ind w:left="770" w:hanging="440"/>
        <w:jc w:val="both"/>
        <w:rPr>
          <w:b/>
          <w:sz w:val="22"/>
          <w:szCs w:val="22"/>
          <w:u w:val="single"/>
        </w:rPr>
      </w:pPr>
      <w:r w:rsidRPr="007A5A80">
        <w:rPr>
          <w:b/>
          <w:sz w:val="22"/>
          <w:szCs w:val="22"/>
        </w:rPr>
        <w:t>i titoli posseduti dei quali si chiede la valutazione (limitatamente ai titoli culturali e professionali, è possibile produrre dichiarazioni sostitutive);</w:t>
      </w:r>
    </w:p>
    <w:p w:rsidR="00A775A0" w:rsidRPr="007A5A80" w:rsidRDefault="00A775A0" w:rsidP="00A775A0">
      <w:pPr>
        <w:pStyle w:val="Corpotesto"/>
        <w:overflowPunct/>
        <w:autoSpaceDE/>
        <w:autoSpaceDN/>
        <w:adjustRightInd/>
        <w:spacing w:after="0"/>
        <w:ind w:left="720"/>
        <w:jc w:val="both"/>
        <w:rPr>
          <w:b/>
          <w:sz w:val="22"/>
          <w:szCs w:val="22"/>
          <w:u w:val="single"/>
        </w:rPr>
      </w:pPr>
    </w:p>
    <w:p w:rsidR="00A775A0" w:rsidRPr="007A5A80" w:rsidRDefault="00A775A0" w:rsidP="00A775A0">
      <w:pPr>
        <w:pStyle w:val="Corpotesto"/>
        <w:numPr>
          <w:ilvl w:val="1"/>
          <w:numId w:val="5"/>
        </w:numPr>
        <w:tabs>
          <w:tab w:val="clear" w:pos="1193"/>
        </w:tabs>
        <w:overflowPunct/>
        <w:autoSpaceDE/>
        <w:autoSpaceDN/>
        <w:adjustRightInd/>
        <w:spacing w:after="0"/>
        <w:ind w:left="770" w:hanging="440"/>
        <w:jc w:val="both"/>
        <w:rPr>
          <w:b/>
          <w:sz w:val="22"/>
          <w:szCs w:val="22"/>
          <w:u w:val="single"/>
        </w:rPr>
      </w:pPr>
      <w:r w:rsidRPr="007A5A80">
        <w:rPr>
          <w:b/>
          <w:sz w:val="22"/>
          <w:szCs w:val="22"/>
        </w:rPr>
        <w:t xml:space="preserve">il </w:t>
      </w:r>
      <w:r w:rsidRPr="007A5A80">
        <w:rPr>
          <w:b/>
          <w:i/>
          <w:sz w:val="22"/>
          <w:szCs w:val="22"/>
        </w:rPr>
        <w:t>curriculum</w:t>
      </w:r>
      <w:r w:rsidRPr="007A5A80">
        <w:rPr>
          <w:b/>
          <w:sz w:val="22"/>
          <w:szCs w:val="22"/>
        </w:rPr>
        <w:t xml:space="preserve"> personale nel quale devono essere specificati i titoli culturali, scientifici e professionali posseduti, dei quali si chiede la valutazione,  l’eventuale conoscenza di lingue straniere (D.P.R. 28.12.2000, n.445 e </w:t>
      </w:r>
      <w:proofErr w:type="spellStart"/>
      <w:r w:rsidRPr="007A5A80">
        <w:rPr>
          <w:b/>
          <w:sz w:val="22"/>
          <w:szCs w:val="22"/>
        </w:rPr>
        <w:t>s.m.i.</w:t>
      </w:r>
      <w:proofErr w:type="spellEnd"/>
      <w:r w:rsidRPr="007A5A80">
        <w:rPr>
          <w:b/>
          <w:sz w:val="22"/>
          <w:szCs w:val="22"/>
        </w:rPr>
        <w:t xml:space="preserve"> e Legge 12.11.2011, n.183)</w:t>
      </w:r>
      <w:r>
        <w:rPr>
          <w:b/>
          <w:sz w:val="22"/>
          <w:szCs w:val="22"/>
        </w:rPr>
        <w:t xml:space="preserve">, e degli strumenti informatici. </w:t>
      </w:r>
    </w:p>
    <w:p w:rsidR="00A775A0" w:rsidRDefault="00A775A0" w:rsidP="00A775A0">
      <w:pPr>
        <w:pStyle w:val="Corpotesto"/>
        <w:rPr>
          <w:sz w:val="22"/>
          <w:szCs w:val="22"/>
          <w:u w:val="single"/>
        </w:rPr>
      </w:pPr>
    </w:p>
    <w:p w:rsidR="003F66DF" w:rsidRDefault="003F66DF" w:rsidP="003F66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Alla domanda va, infine, allegata copia di un documento di identità in corso di validità.</w:t>
      </w:r>
    </w:p>
    <w:p w:rsidR="00924A21" w:rsidRDefault="00924A21" w:rsidP="003F66DF">
      <w:pPr>
        <w:ind w:firstLine="567"/>
        <w:jc w:val="both"/>
        <w:rPr>
          <w:sz w:val="24"/>
          <w:szCs w:val="24"/>
        </w:rPr>
      </w:pPr>
    </w:p>
    <w:p w:rsidR="003F66DF" w:rsidRDefault="003F66DF" w:rsidP="003F66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I candidati, poiché possono presentare domanda ad un solo Ufficio, devono dichiarare, sotto la propria responsabilità, di non aver presentato analoga domanda ad altro Ufficio centrale o regionale, di essere in possesso di tutti i titoli culturali, scientifici e professionali indicati nel curriculum ai fini della valutazione, nonché di aver superato il periodo di prova.</w:t>
      </w:r>
    </w:p>
    <w:p w:rsidR="00A164F8" w:rsidRDefault="00A164F8" w:rsidP="003F66DF">
      <w:pPr>
        <w:ind w:firstLine="567"/>
        <w:jc w:val="both"/>
        <w:rPr>
          <w:sz w:val="24"/>
          <w:szCs w:val="24"/>
        </w:rPr>
      </w:pPr>
    </w:p>
    <w:p w:rsidR="003F66DF" w:rsidRDefault="003F66DF" w:rsidP="003F66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Le domande prive di tali indicazioni, ovvero indirizzate genericamente al Ministero dell’Istruzione, dell’Università e della Ricerca, ovvero non sottoscritte dall’interessato non sono prese in considerazione.</w:t>
      </w:r>
    </w:p>
    <w:p w:rsidR="00A164F8" w:rsidRDefault="00A164F8" w:rsidP="003F66DF">
      <w:pPr>
        <w:numPr>
          <w:ilvl w:val="12"/>
          <w:numId w:val="0"/>
        </w:numPr>
        <w:ind w:firstLine="567"/>
        <w:jc w:val="both"/>
        <w:rPr>
          <w:sz w:val="24"/>
          <w:szCs w:val="24"/>
        </w:rPr>
      </w:pPr>
    </w:p>
    <w:p w:rsidR="003F66DF" w:rsidRDefault="003F66DF" w:rsidP="003F66DF">
      <w:pPr>
        <w:numPr>
          <w:ilvl w:val="12"/>
          <w:numId w:val="0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L’esame dei candidati è  effettuato da una Commissione  appositamente costituita,  attraverso la valutazione dei titoli culturali, scientifici e professionali così come </w:t>
      </w:r>
      <w:r w:rsidRPr="00C35720">
        <w:rPr>
          <w:sz w:val="24"/>
          <w:szCs w:val="24"/>
        </w:rPr>
        <w:t xml:space="preserve">descritti </w:t>
      </w:r>
      <w:r w:rsidR="007536C1" w:rsidRPr="00C35720">
        <w:rPr>
          <w:sz w:val="24"/>
          <w:szCs w:val="24"/>
        </w:rPr>
        <w:t>nell'ALLEGATO 2</w:t>
      </w:r>
      <w:r w:rsidRPr="00C35720">
        <w:rPr>
          <w:sz w:val="24"/>
          <w:szCs w:val="24"/>
        </w:rPr>
        <w:t>,</w:t>
      </w:r>
      <w:r>
        <w:rPr>
          <w:sz w:val="24"/>
          <w:szCs w:val="24"/>
        </w:rPr>
        <w:t xml:space="preserve"> che è parte integrante del presente avviso, ed un colloquio finalizzato  all’accertamento dei seguenti requisiti:</w:t>
      </w:r>
    </w:p>
    <w:p w:rsidR="007E4351" w:rsidRDefault="007E4351" w:rsidP="003F66DF">
      <w:pPr>
        <w:numPr>
          <w:ilvl w:val="12"/>
          <w:numId w:val="0"/>
        </w:numPr>
        <w:ind w:firstLine="567"/>
        <w:jc w:val="both"/>
        <w:rPr>
          <w:sz w:val="24"/>
          <w:szCs w:val="24"/>
        </w:rPr>
      </w:pPr>
    </w:p>
    <w:p w:rsidR="007E4351" w:rsidRDefault="0041316E" w:rsidP="007E4351">
      <w:pPr>
        <w:pStyle w:val="a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E4351">
        <w:rPr>
          <w:sz w:val="22"/>
          <w:szCs w:val="22"/>
        </w:rPr>
        <w:t>motivazione professionale a partecipare ai processi di innovazione in atto;</w:t>
      </w:r>
    </w:p>
    <w:p w:rsidR="007E4351" w:rsidRDefault="007E4351" w:rsidP="007E4351">
      <w:pPr>
        <w:pStyle w:val="a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 competenze trasversali di tipo progettuale, gestionale e promozionale;</w:t>
      </w:r>
    </w:p>
    <w:p w:rsidR="007E4351" w:rsidRDefault="007E4351" w:rsidP="007E4351">
      <w:pPr>
        <w:pStyle w:val="a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 capacità di porsi in relazione, di lavorare in gruppo, di assumere responsabilità;</w:t>
      </w:r>
    </w:p>
    <w:p w:rsidR="007E4351" w:rsidRDefault="007E4351" w:rsidP="007E4351">
      <w:pPr>
        <w:pStyle w:val="a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 approfondita conoscenza degli ordinamenti scolastici con particolare riferimento all’autonomia e alle riforme ordinamentali.</w:t>
      </w:r>
    </w:p>
    <w:p w:rsidR="007E4351" w:rsidRDefault="007E4351" w:rsidP="003F66DF">
      <w:pPr>
        <w:numPr>
          <w:ilvl w:val="12"/>
          <w:numId w:val="0"/>
        </w:numPr>
        <w:ind w:firstLine="567"/>
        <w:jc w:val="both"/>
        <w:rPr>
          <w:sz w:val="24"/>
          <w:szCs w:val="24"/>
        </w:rPr>
      </w:pPr>
    </w:p>
    <w:p w:rsidR="003F66DF" w:rsidRDefault="003F66DF" w:rsidP="003F66D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Particolare rilievo è attribuito a pregresse esperienze di collaborazione svolte dai candidati presso gli uffici dell’Amministrazione scolastica, centrale e periferica, nelle aree funzionali di interesse.</w:t>
      </w:r>
    </w:p>
    <w:p w:rsidR="003F66DF" w:rsidRPr="00225113" w:rsidRDefault="003F66DF" w:rsidP="003F66DF">
      <w:pPr>
        <w:numPr>
          <w:ilvl w:val="12"/>
          <w:numId w:val="0"/>
        </w:num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Il punteggio massimo complessivo previsto per la </w:t>
      </w:r>
      <w:r w:rsidRPr="00C35720">
        <w:rPr>
          <w:sz w:val="24"/>
          <w:szCs w:val="24"/>
        </w:rPr>
        <w:t xml:space="preserve">valutazione dei titoli è </w:t>
      </w:r>
      <w:r w:rsidR="00225113" w:rsidRPr="00C35720">
        <w:rPr>
          <w:sz w:val="24"/>
          <w:szCs w:val="24"/>
        </w:rPr>
        <w:t xml:space="preserve">di </w:t>
      </w:r>
      <w:r w:rsidR="007E4351" w:rsidRPr="00C35720">
        <w:rPr>
          <w:b/>
          <w:sz w:val="24"/>
          <w:szCs w:val="24"/>
        </w:rPr>
        <w:t>punti 40.</w:t>
      </w:r>
      <w:r w:rsidRPr="00225113">
        <w:rPr>
          <w:b/>
          <w:sz w:val="24"/>
          <w:szCs w:val="24"/>
        </w:rPr>
        <w:t xml:space="preserve"> </w:t>
      </w:r>
    </w:p>
    <w:p w:rsidR="003B2F29" w:rsidRDefault="003B2F29" w:rsidP="003F66DF">
      <w:pPr>
        <w:ind w:firstLine="708"/>
        <w:jc w:val="both"/>
        <w:rPr>
          <w:sz w:val="24"/>
          <w:szCs w:val="24"/>
        </w:rPr>
      </w:pPr>
    </w:p>
    <w:p w:rsidR="003F66DF" w:rsidRDefault="003F66DF" w:rsidP="003F66D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sede di colloquio al candidato è assegnato un </w:t>
      </w:r>
      <w:r w:rsidRPr="00C35720">
        <w:rPr>
          <w:sz w:val="24"/>
          <w:szCs w:val="24"/>
        </w:rPr>
        <w:t xml:space="preserve">punteggio massimo di </w:t>
      </w:r>
      <w:r w:rsidRPr="00C35720">
        <w:rPr>
          <w:b/>
          <w:sz w:val="24"/>
          <w:szCs w:val="24"/>
        </w:rPr>
        <w:t xml:space="preserve">punti </w:t>
      </w:r>
      <w:r w:rsidR="007E4351" w:rsidRPr="00C35720">
        <w:rPr>
          <w:b/>
          <w:sz w:val="24"/>
          <w:szCs w:val="24"/>
        </w:rPr>
        <w:t>60.</w:t>
      </w:r>
      <w:r w:rsidR="007E4351" w:rsidRPr="00C35720">
        <w:rPr>
          <w:sz w:val="24"/>
          <w:szCs w:val="24"/>
        </w:rPr>
        <w:t xml:space="preserve">       </w:t>
      </w:r>
    </w:p>
    <w:p w:rsidR="00A164F8" w:rsidRDefault="00A164F8" w:rsidP="00763EA2">
      <w:pPr>
        <w:ind w:firstLine="708"/>
        <w:jc w:val="both"/>
        <w:rPr>
          <w:sz w:val="24"/>
          <w:szCs w:val="24"/>
        </w:rPr>
      </w:pPr>
    </w:p>
    <w:p w:rsidR="001A186D" w:rsidRDefault="001A186D" w:rsidP="00763EA2">
      <w:pPr>
        <w:ind w:firstLine="708"/>
        <w:jc w:val="both"/>
        <w:rPr>
          <w:sz w:val="24"/>
          <w:szCs w:val="24"/>
        </w:rPr>
      </w:pPr>
    </w:p>
    <w:p w:rsidR="001A186D" w:rsidRDefault="001A186D" w:rsidP="00763EA2">
      <w:pPr>
        <w:ind w:firstLine="708"/>
        <w:jc w:val="both"/>
        <w:rPr>
          <w:sz w:val="24"/>
          <w:szCs w:val="24"/>
        </w:rPr>
      </w:pPr>
    </w:p>
    <w:p w:rsidR="00763EA2" w:rsidRDefault="003F66DF" w:rsidP="00763E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colloquio si intende superato </w:t>
      </w:r>
      <w:r w:rsidRPr="00C35720">
        <w:rPr>
          <w:sz w:val="24"/>
          <w:szCs w:val="24"/>
        </w:rPr>
        <w:t xml:space="preserve">con un punteggio minimo di </w:t>
      </w:r>
      <w:r w:rsidR="007E4351" w:rsidRPr="00C35720">
        <w:rPr>
          <w:sz w:val="24"/>
          <w:szCs w:val="24"/>
        </w:rPr>
        <w:t xml:space="preserve"> </w:t>
      </w:r>
      <w:r w:rsidR="007E4351" w:rsidRPr="00C35720">
        <w:rPr>
          <w:b/>
          <w:sz w:val="24"/>
          <w:szCs w:val="24"/>
        </w:rPr>
        <w:t>48</w:t>
      </w:r>
      <w:r w:rsidR="00763EA2" w:rsidRPr="00C35720">
        <w:rPr>
          <w:b/>
          <w:sz w:val="24"/>
          <w:szCs w:val="24"/>
        </w:rPr>
        <w:t>/60</w:t>
      </w:r>
      <w:r w:rsidR="007E4351" w:rsidRPr="00C35720">
        <w:rPr>
          <w:b/>
          <w:sz w:val="24"/>
          <w:szCs w:val="24"/>
        </w:rPr>
        <w:t xml:space="preserve"> punti</w:t>
      </w:r>
      <w:r w:rsidRPr="00C35720">
        <w:rPr>
          <w:sz w:val="24"/>
          <w:szCs w:val="24"/>
        </w:rPr>
        <w:t>;</w:t>
      </w:r>
      <w:r w:rsidR="006A03DC">
        <w:rPr>
          <w:sz w:val="24"/>
          <w:szCs w:val="24"/>
        </w:rPr>
        <w:t xml:space="preserve"> </w:t>
      </w:r>
      <w:r>
        <w:rPr>
          <w:sz w:val="24"/>
          <w:szCs w:val="24"/>
        </w:rPr>
        <w:t>ogni valutazione inferiore è considerata insufficiente ai fini del superamento della selezione, qualunque sia il punteggio spettante per i titoli posseduti.</w:t>
      </w:r>
    </w:p>
    <w:p w:rsidR="001A186D" w:rsidRDefault="001A186D" w:rsidP="003B2F29">
      <w:pPr>
        <w:pStyle w:val="Corpotesto"/>
        <w:ind w:firstLine="708"/>
        <w:rPr>
          <w:sz w:val="22"/>
          <w:szCs w:val="22"/>
          <w:u w:val="single"/>
        </w:rPr>
      </w:pPr>
    </w:p>
    <w:p w:rsidR="00763EA2" w:rsidRDefault="00763EA2" w:rsidP="003B2F29">
      <w:pPr>
        <w:pStyle w:val="Corpotesto"/>
        <w:ind w:firstLine="708"/>
        <w:rPr>
          <w:b/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Sono ammessi al colloquio gli aspiranti che abbiano conseguito una valutazione complessiva dei titoli  culturali, scientifici e professionali prodotti non inferiore a  </w:t>
      </w:r>
      <w:r>
        <w:rPr>
          <w:b/>
          <w:sz w:val="22"/>
          <w:szCs w:val="22"/>
          <w:u w:val="single"/>
        </w:rPr>
        <w:t>15/40</w:t>
      </w:r>
    </w:p>
    <w:p w:rsidR="003B2F29" w:rsidRDefault="003B2F29" w:rsidP="003F66DF">
      <w:pPr>
        <w:ind w:firstLine="708"/>
        <w:jc w:val="both"/>
        <w:rPr>
          <w:sz w:val="24"/>
          <w:szCs w:val="24"/>
        </w:rPr>
      </w:pPr>
    </w:p>
    <w:p w:rsidR="003F66DF" w:rsidRDefault="003F66DF" w:rsidP="003F66DF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Sulla base del punteggio complessivo conseguito, sia con la valutazione dei titoli che con il colloquio, è predisposta la graduatoria di merito, in base alla quale saranno individuati i candidati utilmente collocati.</w:t>
      </w:r>
      <w:r>
        <w:rPr>
          <w:b/>
          <w:sz w:val="24"/>
          <w:szCs w:val="24"/>
        </w:rPr>
        <w:t xml:space="preserve"> </w:t>
      </w:r>
    </w:p>
    <w:p w:rsidR="003B2F29" w:rsidRDefault="003B2F29" w:rsidP="003F66DF">
      <w:pPr>
        <w:ind w:firstLine="708"/>
        <w:jc w:val="both"/>
        <w:rPr>
          <w:b/>
          <w:sz w:val="24"/>
          <w:szCs w:val="24"/>
        </w:rPr>
      </w:pPr>
    </w:p>
    <w:p w:rsidR="003F66DF" w:rsidRDefault="003F66DF" w:rsidP="003F66D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E’  fatta  salva  la  possibilità  di  disporre,  entro  il termine necessario per l’avvio dell’anno scolastico 2015/2016, di ulteriori assegnazioni di docenti e di dirigenti scolastici  facendo ricorso allo scorrimento della graduatoria, in relazione al numero dei posti che dovessero eventualmente rendersi disponibili successivamente alla conclusione della procedura.</w:t>
      </w:r>
    </w:p>
    <w:p w:rsidR="003B2F29" w:rsidRDefault="003B2F29" w:rsidP="003F66DF">
      <w:pPr>
        <w:ind w:firstLine="708"/>
        <w:jc w:val="both"/>
        <w:rPr>
          <w:b/>
          <w:sz w:val="24"/>
          <w:szCs w:val="24"/>
        </w:rPr>
      </w:pPr>
    </w:p>
    <w:p w:rsidR="003F66DF" w:rsidRPr="00A164F8" w:rsidRDefault="003F66DF" w:rsidP="003F66DF">
      <w:pPr>
        <w:ind w:firstLine="708"/>
        <w:jc w:val="both"/>
        <w:rPr>
          <w:b/>
          <w:sz w:val="24"/>
          <w:szCs w:val="24"/>
        </w:rPr>
      </w:pPr>
      <w:r w:rsidRPr="00A164F8">
        <w:rPr>
          <w:b/>
          <w:sz w:val="24"/>
          <w:szCs w:val="24"/>
        </w:rPr>
        <w:t>Si richiama, inoltre, quanto previsto dalla C.M. n. 14 del 3 luglio 2015, laddove si prevede che con l’entrata in vigore del disegno di legge recante la riforma del sistema nazionale di istruzione e formazione e delega per il riordino delle disposizioni legislative vigenti, il numero dei posti, indicati nel piano di ripartizione (all. 1 della Circolare), si intende automaticamente raddoppiato per ciascun Dipartimento, Direzione Generale o Ufficio Scolastico Regionale, ad eccezione del posto riservato al docente di lingua slovena, attraverso lo scorrimento delle graduatorie di ciascun Ufficio.</w:t>
      </w:r>
    </w:p>
    <w:p w:rsidR="003B2F29" w:rsidRPr="00A164F8" w:rsidRDefault="003F66DF" w:rsidP="003F66DF">
      <w:pPr>
        <w:jc w:val="both"/>
        <w:rPr>
          <w:b/>
          <w:sz w:val="24"/>
          <w:szCs w:val="24"/>
        </w:rPr>
      </w:pPr>
      <w:r w:rsidRPr="00A164F8">
        <w:rPr>
          <w:b/>
          <w:sz w:val="24"/>
          <w:szCs w:val="24"/>
        </w:rPr>
        <w:t xml:space="preserve">           </w:t>
      </w:r>
    </w:p>
    <w:p w:rsidR="003F66DF" w:rsidRPr="00A164F8" w:rsidRDefault="003F66DF" w:rsidP="003B2F29">
      <w:pPr>
        <w:ind w:firstLine="708"/>
        <w:jc w:val="both"/>
        <w:rPr>
          <w:b/>
          <w:sz w:val="24"/>
          <w:szCs w:val="24"/>
        </w:rPr>
      </w:pPr>
      <w:r w:rsidRPr="00A164F8">
        <w:rPr>
          <w:b/>
          <w:sz w:val="24"/>
          <w:szCs w:val="24"/>
        </w:rPr>
        <w:t>Per quanto non espressamente previsto dal presente avviso di procedura di selezione, si fa rinvio alla  citata Circolare n. 14 del 3 luglio 2015.</w:t>
      </w:r>
    </w:p>
    <w:p w:rsidR="003B2F29" w:rsidRDefault="003B2F29" w:rsidP="008041D2">
      <w:pPr>
        <w:pStyle w:val="Corpotesto"/>
        <w:ind w:firstLine="851"/>
        <w:jc w:val="both"/>
        <w:rPr>
          <w:sz w:val="24"/>
          <w:szCs w:val="24"/>
        </w:rPr>
      </w:pPr>
    </w:p>
    <w:p w:rsidR="008041D2" w:rsidRPr="00A164F8" w:rsidRDefault="003F66DF" w:rsidP="008041D2">
      <w:pPr>
        <w:pStyle w:val="Corpotesto"/>
        <w:ind w:firstLine="851"/>
        <w:jc w:val="both"/>
        <w:rPr>
          <w:sz w:val="24"/>
          <w:szCs w:val="24"/>
        </w:rPr>
      </w:pPr>
      <w:r w:rsidRPr="00A164F8">
        <w:rPr>
          <w:sz w:val="24"/>
          <w:szCs w:val="24"/>
        </w:rPr>
        <w:t xml:space="preserve">Il presente avviso di selezione sarà  pubblicato sul sito Internet </w:t>
      </w:r>
      <w:hyperlink r:id="rId9" w:history="1">
        <w:r w:rsidRPr="00A164F8">
          <w:rPr>
            <w:rStyle w:val="Collegamentoipertestuale"/>
            <w:sz w:val="24"/>
            <w:szCs w:val="24"/>
          </w:rPr>
          <w:t>http://www.istruzione.it/</w:t>
        </w:r>
      </w:hyperlink>
      <w:r w:rsidRPr="00A164F8">
        <w:rPr>
          <w:sz w:val="24"/>
          <w:szCs w:val="24"/>
        </w:rPr>
        <w:t xml:space="preserve"> </w:t>
      </w:r>
      <w:r w:rsidR="00C35720" w:rsidRPr="00A164F8">
        <w:rPr>
          <w:sz w:val="24"/>
          <w:szCs w:val="24"/>
        </w:rPr>
        <w:t>e</w:t>
      </w:r>
      <w:r w:rsidRPr="00A164F8">
        <w:rPr>
          <w:sz w:val="24"/>
          <w:szCs w:val="24"/>
        </w:rPr>
        <w:t xml:space="preserve"> sul sito </w:t>
      </w:r>
      <w:r w:rsidR="006A03DC" w:rsidRPr="00A164F8">
        <w:rPr>
          <w:sz w:val="24"/>
          <w:szCs w:val="24"/>
        </w:rPr>
        <w:t xml:space="preserve"> web di questo Ufficio Scolastico Regionale   </w:t>
      </w:r>
      <w:hyperlink r:id="rId10" w:history="1">
        <w:r w:rsidR="006A03DC" w:rsidRPr="00A164F8">
          <w:rPr>
            <w:rStyle w:val="Collegamentoipertestuale"/>
            <w:sz w:val="24"/>
            <w:szCs w:val="24"/>
          </w:rPr>
          <w:t>www.pugliausr.it</w:t>
        </w:r>
      </w:hyperlink>
      <w:r w:rsidR="006A03DC" w:rsidRPr="00A164F8">
        <w:rPr>
          <w:sz w:val="24"/>
          <w:szCs w:val="24"/>
        </w:rPr>
        <w:t xml:space="preserve"> </w:t>
      </w:r>
      <w:r w:rsidR="008041D2" w:rsidRPr="00A164F8">
        <w:rPr>
          <w:sz w:val="24"/>
          <w:szCs w:val="24"/>
        </w:rPr>
        <w:t>,</w:t>
      </w:r>
      <w:r w:rsidR="006A03DC" w:rsidRPr="00A164F8">
        <w:rPr>
          <w:sz w:val="24"/>
          <w:szCs w:val="24"/>
        </w:rPr>
        <w:t xml:space="preserve">  </w:t>
      </w:r>
      <w:r w:rsidRPr="00A164F8">
        <w:rPr>
          <w:sz w:val="24"/>
          <w:szCs w:val="24"/>
        </w:rPr>
        <w:t xml:space="preserve"> nella re</w:t>
      </w:r>
      <w:r w:rsidR="008041D2" w:rsidRPr="00A164F8">
        <w:rPr>
          <w:sz w:val="24"/>
          <w:szCs w:val="24"/>
        </w:rPr>
        <w:t>te Intranet del  M.I.U.R.  ed  inviato agli Uffici di ambito territoriale ed a tutte le istituzioni scolastiche della Regione Puglia, i cui dirigenti ne cureranno la massima diffusione tra il personale interessato.</w:t>
      </w:r>
    </w:p>
    <w:p w:rsidR="006A03DC" w:rsidRPr="00A164F8" w:rsidRDefault="003F66DF" w:rsidP="006A03DC">
      <w:pPr>
        <w:ind w:firstLine="708"/>
        <w:jc w:val="both"/>
        <w:rPr>
          <w:sz w:val="24"/>
          <w:szCs w:val="24"/>
        </w:rPr>
      </w:pPr>
      <w:r w:rsidRPr="00A164F8">
        <w:rPr>
          <w:sz w:val="24"/>
          <w:szCs w:val="24"/>
        </w:rPr>
        <w:t>Dello stesso sarà data contestuale comunicazione alle organizzazioni sindacali del comparto scuola e dell’area V della dirigenza scolastica, aventi titolo alla contrattazione decentrata.</w:t>
      </w:r>
    </w:p>
    <w:p w:rsidR="008041D2" w:rsidRPr="00A164F8" w:rsidRDefault="008041D2" w:rsidP="006A03DC">
      <w:pPr>
        <w:pStyle w:val="a"/>
        <w:ind w:firstLine="851"/>
      </w:pPr>
    </w:p>
    <w:p w:rsidR="006A03DC" w:rsidRPr="00A164F8" w:rsidRDefault="006A03DC" w:rsidP="006A03DC">
      <w:pPr>
        <w:pStyle w:val="a"/>
        <w:ind w:firstLine="851"/>
      </w:pPr>
      <w:r w:rsidRPr="00A164F8">
        <w:t xml:space="preserve">In data </w:t>
      </w:r>
      <w:r w:rsidRPr="00A164F8">
        <w:rPr>
          <w:b/>
        </w:rPr>
        <w:t>24/7/2015</w:t>
      </w:r>
      <w:r w:rsidRPr="00A164F8">
        <w:t>, sarà pubblicato sul sito web di questo Ufficio Scolastico Regionale (</w:t>
      </w:r>
      <w:hyperlink r:id="rId11" w:history="1">
        <w:r w:rsidRPr="00A164F8">
          <w:rPr>
            <w:rStyle w:val="Collegamentoipertestuale"/>
          </w:rPr>
          <w:t>www.pugliausr.it</w:t>
        </w:r>
      </w:hyperlink>
      <w:r w:rsidRPr="00A164F8">
        <w:t xml:space="preserve"> ) un apposito </w:t>
      </w:r>
      <w:r w:rsidRPr="00A164F8">
        <w:rPr>
          <w:b/>
          <w:u w:val="single"/>
        </w:rPr>
        <w:t>avviso</w:t>
      </w:r>
      <w:r w:rsidRPr="00A164F8">
        <w:t xml:space="preserve"> recante i candidati ammessi ai colloqui e il calendario di svolgimento dei colloqui.</w:t>
      </w:r>
    </w:p>
    <w:p w:rsidR="008041D2" w:rsidRPr="00A164F8" w:rsidRDefault="008041D2" w:rsidP="006A03DC">
      <w:pPr>
        <w:pStyle w:val="a"/>
        <w:ind w:firstLine="851"/>
        <w:rPr>
          <w:u w:val="single"/>
        </w:rPr>
      </w:pPr>
    </w:p>
    <w:p w:rsidR="006A03DC" w:rsidRPr="00A164F8" w:rsidRDefault="006A03DC" w:rsidP="006A03DC">
      <w:pPr>
        <w:pStyle w:val="a"/>
        <w:ind w:firstLine="851"/>
      </w:pPr>
      <w:r w:rsidRPr="00A164F8">
        <w:rPr>
          <w:u w:val="single"/>
        </w:rPr>
        <w:t>LA PUBBLICAZIONE DI TALE AVVISO SOSTITUIRÀ</w:t>
      </w:r>
      <w:r w:rsidR="00763EA2" w:rsidRPr="00A164F8">
        <w:rPr>
          <w:u w:val="single"/>
        </w:rPr>
        <w:t>’</w:t>
      </w:r>
      <w:r w:rsidRPr="00A164F8">
        <w:rPr>
          <w:u w:val="single"/>
        </w:rPr>
        <w:t>, A TUTTI GLI EFFETTI, LA COMUNICAZIONE INDIVIDUALE AI SINGOLI ASPIRANTI</w:t>
      </w:r>
      <w:r w:rsidRPr="00A164F8">
        <w:t>. Questi ultimi, pertanto, dovranno presentarsi, muniti di idoneo documento di riconoscimento, nel luogo, nella data e all’ora stabiliti per sostenere il colloquio medesimo.</w:t>
      </w:r>
    </w:p>
    <w:p w:rsidR="006A03DC" w:rsidRPr="00A164F8" w:rsidRDefault="006A03DC" w:rsidP="006A03DC">
      <w:pPr>
        <w:ind w:firstLine="708"/>
        <w:jc w:val="both"/>
        <w:rPr>
          <w:sz w:val="24"/>
          <w:szCs w:val="24"/>
        </w:rPr>
      </w:pPr>
    </w:p>
    <w:p w:rsidR="006A03DC" w:rsidRDefault="006A03DC" w:rsidP="006A03DC">
      <w:pPr>
        <w:ind w:firstLine="708"/>
        <w:jc w:val="both"/>
        <w:rPr>
          <w:sz w:val="24"/>
          <w:szCs w:val="24"/>
        </w:rPr>
      </w:pPr>
    </w:p>
    <w:p w:rsidR="006A03DC" w:rsidRDefault="006A03DC" w:rsidP="006A03DC">
      <w:pPr>
        <w:ind w:firstLine="708"/>
        <w:jc w:val="both"/>
        <w:rPr>
          <w:sz w:val="24"/>
          <w:szCs w:val="24"/>
        </w:rPr>
      </w:pPr>
    </w:p>
    <w:p w:rsidR="003F66DF" w:rsidRDefault="006A03DC" w:rsidP="006A03D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F66DF">
        <w:rPr>
          <w:sz w:val="24"/>
          <w:szCs w:val="24"/>
        </w:rPr>
        <w:t>IL DIRETTORE GENERALE</w:t>
      </w:r>
    </w:p>
    <w:p w:rsidR="000762CC" w:rsidRDefault="00022B2C" w:rsidP="00A5483D">
      <w:pPr>
        <w:ind w:left="4956" w:firstLine="708"/>
        <w:jc w:val="both"/>
      </w:pPr>
      <w:r>
        <w:rPr>
          <w:sz w:val="24"/>
          <w:szCs w:val="24"/>
        </w:rPr>
        <w:t xml:space="preserve">F.to </w:t>
      </w:r>
      <w:bookmarkStart w:id="0" w:name="_GoBack"/>
      <w:bookmarkEnd w:id="0"/>
      <w:r w:rsidR="00763EA2">
        <w:rPr>
          <w:sz w:val="24"/>
          <w:szCs w:val="24"/>
        </w:rPr>
        <w:t>Anna Cammalleri</w:t>
      </w:r>
    </w:p>
    <w:sectPr w:rsidR="000762CC" w:rsidSect="003B2F29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B76"/>
    <w:multiLevelType w:val="hybridMultilevel"/>
    <w:tmpl w:val="C6B2544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651C60"/>
    <w:multiLevelType w:val="multilevel"/>
    <w:tmpl w:val="6466F394"/>
    <w:lvl w:ilvl="0">
      <w:start w:val="1"/>
      <w:numFmt w:val="upperLetter"/>
      <w:lvlText w:val="%1)"/>
      <w:lvlJc w:val="left"/>
      <w:pPr>
        <w:ind w:left="360" w:hanging="360"/>
      </w:pPr>
      <w:rPr>
        <w:b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9C7429A"/>
    <w:multiLevelType w:val="singleLevel"/>
    <w:tmpl w:val="8752CF7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3B612861"/>
    <w:multiLevelType w:val="hybridMultilevel"/>
    <w:tmpl w:val="B2AC1E72"/>
    <w:lvl w:ilvl="0" w:tplc="411E7D64">
      <w:start w:val="1"/>
      <w:numFmt w:val="bullet"/>
      <w:lvlText w:val=""/>
      <w:lvlJc w:val="left"/>
      <w:pPr>
        <w:tabs>
          <w:tab w:val="num" w:pos="173"/>
        </w:tabs>
        <w:ind w:left="173" w:hanging="113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D27E2A"/>
    <w:multiLevelType w:val="hybridMultilevel"/>
    <w:tmpl w:val="D3120F8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C1B7FB8"/>
    <w:multiLevelType w:val="hybridMultilevel"/>
    <w:tmpl w:val="009E1D1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11E7D64">
      <w:start w:val="1"/>
      <w:numFmt w:val="bullet"/>
      <w:lvlText w:val=""/>
      <w:lvlJc w:val="left"/>
      <w:pPr>
        <w:tabs>
          <w:tab w:val="num" w:pos="1193"/>
        </w:tabs>
        <w:ind w:left="1193" w:hanging="113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3738A"/>
    <w:multiLevelType w:val="hybridMultilevel"/>
    <w:tmpl w:val="902C5A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C5A46"/>
    <w:multiLevelType w:val="hybridMultilevel"/>
    <w:tmpl w:val="DB46A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85F9D"/>
    <w:rsid w:val="00022B2C"/>
    <w:rsid w:val="00044D6C"/>
    <w:rsid w:val="000762CC"/>
    <w:rsid w:val="00077615"/>
    <w:rsid w:val="00080776"/>
    <w:rsid w:val="00085F9D"/>
    <w:rsid w:val="001A186D"/>
    <w:rsid w:val="00225113"/>
    <w:rsid w:val="00233C86"/>
    <w:rsid w:val="002C5DED"/>
    <w:rsid w:val="003B2F29"/>
    <w:rsid w:val="003B4A91"/>
    <w:rsid w:val="003F66DF"/>
    <w:rsid w:val="0041316E"/>
    <w:rsid w:val="004C4289"/>
    <w:rsid w:val="00520EC8"/>
    <w:rsid w:val="005B6661"/>
    <w:rsid w:val="006A03DC"/>
    <w:rsid w:val="007536C1"/>
    <w:rsid w:val="00763EA2"/>
    <w:rsid w:val="007B3BB2"/>
    <w:rsid w:val="007E4351"/>
    <w:rsid w:val="008041D2"/>
    <w:rsid w:val="008D584E"/>
    <w:rsid w:val="00924A21"/>
    <w:rsid w:val="009313F0"/>
    <w:rsid w:val="00964DE5"/>
    <w:rsid w:val="009760A0"/>
    <w:rsid w:val="009D04B0"/>
    <w:rsid w:val="00A11233"/>
    <w:rsid w:val="00A164F8"/>
    <w:rsid w:val="00A5483D"/>
    <w:rsid w:val="00A775A0"/>
    <w:rsid w:val="00AA4458"/>
    <w:rsid w:val="00C35720"/>
    <w:rsid w:val="00C36A0F"/>
    <w:rsid w:val="00D43792"/>
    <w:rsid w:val="00DA3C28"/>
    <w:rsid w:val="00DE1D42"/>
    <w:rsid w:val="00E95145"/>
    <w:rsid w:val="00EC6F55"/>
    <w:rsid w:val="00F267A5"/>
    <w:rsid w:val="00FB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5F9D"/>
    <w:pPr>
      <w:overflowPunct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qFormat/>
    <w:rsid w:val="00964DE5"/>
    <w:pPr>
      <w:keepNext/>
      <w:overflowPunct/>
      <w:adjustRightInd/>
      <w:jc w:val="center"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085F9D"/>
    <w:pPr>
      <w:keepNext/>
      <w:spacing w:line="360" w:lineRule="auto"/>
      <w:outlineLvl w:val="1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64DE5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964DE5"/>
    <w:pPr>
      <w:overflowPunct/>
      <w:adjustRightInd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964DE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rsid w:val="00085F9D"/>
    <w:rPr>
      <w:rFonts w:ascii="Arial" w:hAnsi="Arial"/>
      <w:b/>
    </w:rPr>
  </w:style>
  <w:style w:type="paragraph" w:styleId="Didascalia">
    <w:name w:val="caption"/>
    <w:basedOn w:val="Normale"/>
    <w:next w:val="Normale"/>
    <w:qFormat/>
    <w:rsid w:val="00085F9D"/>
    <w:pPr>
      <w:tabs>
        <w:tab w:val="left" w:pos="11160"/>
      </w:tabs>
      <w:jc w:val="center"/>
    </w:pPr>
    <w:rPr>
      <w:rFonts w:ascii="Verdana" w:hAnsi="Verdana"/>
      <w:b/>
      <w:bCs/>
      <w:i/>
      <w:iCs/>
      <w:sz w:val="28"/>
      <w:szCs w:val="36"/>
    </w:rPr>
  </w:style>
  <w:style w:type="character" w:styleId="Collegamentoipertestuale">
    <w:name w:val="Hyperlink"/>
    <w:unhideWhenUsed/>
    <w:rsid w:val="003F66DF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3F66DF"/>
    <w:pPr>
      <w:widowControl w:val="0"/>
      <w:spacing w:after="80" w:line="288" w:lineRule="auto"/>
      <w:ind w:firstLine="709"/>
      <w:jc w:val="both"/>
    </w:pPr>
    <w:rPr>
      <w:rFonts w:ascii="Tahoma" w:hAnsi="Tahoma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3F66DF"/>
    <w:rPr>
      <w:rFonts w:ascii="Tahoma" w:hAnsi="Tahoma"/>
      <w:sz w:val="24"/>
    </w:rPr>
  </w:style>
  <w:style w:type="paragraph" w:styleId="NormaleWeb">
    <w:name w:val="Normal (Web)"/>
    <w:basedOn w:val="Normale"/>
    <w:uiPriority w:val="99"/>
    <w:semiHidden/>
    <w:unhideWhenUsed/>
    <w:rsid w:val="00FB058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B058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B0584"/>
    <w:rPr>
      <w:rFonts w:ascii="Tahoma" w:hAnsi="Tahoma" w:cs="Tahoma"/>
      <w:sz w:val="16"/>
      <w:szCs w:val="16"/>
    </w:rPr>
  </w:style>
  <w:style w:type="paragraph" w:customStyle="1" w:styleId="a">
    <w:rsid w:val="006A03DC"/>
    <w:pPr>
      <w:jc w:val="both"/>
    </w:pPr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A775A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775A0"/>
  </w:style>
  <w:style w:type="paragraph" w:styleId="Paragrafoelenco">
    <w:name w:val="List Paragraph"/>
    <w:basedOn w:val="Normale"/>
    <w:uiPriority w:val="34"/>
    <w:qFormat/>
    <w:rsid w:val="00A775A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2F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2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u@postacert.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ugliausr.i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ugliausr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struzione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A0013-310B-4974-A66A-F9A05E77D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Administrator</cp:lastModifiedBy>
  <cp:revision>29</cp:revision>
  <cp:lastPrinted>2015-07-09T13:36:00Z</cp:lastPrinted>
  <dcterms:created xsi:type="dcterms:W3CDTF">2015-07-08T16:52:00Z</dcterms:created>
  <dcterms:modified xsi:type="dcterms:W3CDTF">2015-07-09T14:08:00Z</dcterms:modified>
</cp:coreProperties>
</file>