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1A7" w:rsidRDefault="00B371A7" w:rsidP="00074C72">
      <w:pPr>
        <w:pStyle w:val="Standard"/>
        <w:ind w:right="-143"/>
        <w:rPr>
          <w:bCs/>
          <w:szCs w:val="22"/>
        </w:rPr>
      </w:pPr>
    </w:p>
    <w:p w:rsidR="00B371A7" w:rsidRDefault="00B8424F">
      <w:pPr>
        <w:pStyle w:val="Standard"/>
        <w:ind w:right="-143"/>
        <w:jc w:val="center"/>
      </w:pPr>
      <w:r>
        <w:rPr>
          <w:bCs/>
          <w:szCs w:val="22"/>
        </w:rPr>
        <w:t xml:space="preserve">Comparto Funzioni centrali - </w:t>
      </w:r>
      <w:r>
        <w:rPr>
          <w:b/>
          <w:bCs/>
          <w:szCs w:val="22"/>
        </w:rPr>
        <w:t>personale non dirigente</w:t>
      </w:r>
    </w:p>
    <w:p w:rsidR="00B371A7" w:rsidRDefault="00B8424F">
      <w:pPr>
        <w:pStyle w:val="Standard"/>
        <w:ind w:right="-143"/>
        <w:jc w:val="center"/>
      </w:pPr>
      <w:r>
        <w:rPr>
          <w:rFonts w:cs="Tahoma"/>
          <w:bCs/>
          <w:szCs w:val="22"/>
        </w:rPr>
        <w:t xml:space="preserve">Ipotesi di C.C.I di sede </w:t>
      </w:r>
      <w:r w:rsidR="00074C72" w:rsidRPr="00854D8D">
        <w:rPr>
          <w:rFonts w:cs="Tahoma"/>
          <w:bCs/>
          <w:szCs w:val="22"/>
        </w:rPr>
        <w:t>15 novembre</w:t>
      </w:r>
      <w:r w:rsidRPr="00854D8D">
        <w:rPr>
          <w:rFonts w:cs="Tahoma"/>
          <w:bCs/>
          <w:szCs w:val="22"/>
        </w:rPr>
        <w:t xml:space="preserve"> 2018</w:t>
      </w:r>
      <w:r>
        <w:rPr>
          <w:rFonts w:cs="Tahoma"/>
          <w:bCs/>
          <w:szCs w:val="22"/>
        </w:rPr>
        <w:t xml:space="preserve"> – n° 1/2018</w:t>
      </w:r>
    </w:p>
    <w:p w:rsidR="00B371A7" w:rsidRDefault="00B8424F">
      <w:pPr>
        <w:pStyle w:val="Textbodyindent"/>
        <w:jc w:val="center"/>
      </w:pPr>
      <w:r>
        <w:rPr>
          <w:rFonts w:cs="Tahoma"/>
          <w:bCs/>
          <w:szCs w:val="22"/>
        </w:rPr>
        <w:t>“C</w:t>
      </w:r>
      <w:r>
        <w:rPr>
          <w:szCs w:val="22"/>
        </w:rPr>
        <w:t>riteri e modalità di utilizzazione del Fondo Unico Amministrazione destinato alla retribuzione di produttività del personale non dirigente in servizio nel Dipartimento per la formazione superiore e per la ricerca.</w:t>
      </w:r>
      <w:r>
        <w:rPr>
          <w:i/>
          <w:szCs w:val="22"/>
        </w:rPr>
        <w:t xml:space="preserve">  - Anno 2016”</w:t>
      </w:r>
    </w:p>
    <w:p w:rsidR="00B371A7" w:rsidRDefault="00B371A7">
      <w:pPr>
        <w:pStyle w:val="Standard"/>
        <w:ind w:right="-143"/>
        <w:rPr>
          <w:rFonts w:cs="Tahoma"/>
          <w:i/>
          <w:szCs w:val="22"/>
        </w:rPr>
      </w:pPr>
    </w:p>
    <w:p w:rsidR="00B371A7" w:rsidRDefault="00B371A7">
      <w:pPr>
        <w:pStyle w:val="Standard"/>
        <w:ind w:right="-143"/>
        <w:jc w:val="center"/>
        <w:rPr>
          <w:rFonts w:cs="Tahoma"/>
          <w:i/>
          <w:szCs w:val="22"/>
        </w:rPr>
      </w:pPr>
    </w:p>
    <w:p w:rsidR="00B371A7" w:rsidRDefault="00B8424F">
      <w:pPr>
        <w:pStyle w:val="Standard"/>
        <w:ind w:right="-143"/>
        <w:jc w:val="center"/>
      </w:pPr>
      <w:r>
        <w:rPr>
          <w:rFonts w:cs="Tahoma"/>
          <w:szCs w:val="22"/>
        </w:rPr>
        <w:t>Relazione illustrativa</w:t>
      </w:r>
    </w:p>
    <w:p w:rsidR="00B371A7" w:rsidRDefault="00B371A7">
      <w:pPr>
        <w:pStyle w:val="Standard"/>
        <w:ind w:right="-143"/>
        <w:jc w:val="center"/>
        <w:rPr>
          <w:rFonts w:cs="Tahoma"/>
          <w:szCs w:val="22"/>
        </w:rPr>
      </w:pPr>
    </w:p>
    <w:p w:rsidR="00B371A7" w:rsidRDefault="00B8424F">
      <w:pPr>
        <w:pStyle w:val="Standard"/>
        <w:ind w:firstLine="0"/>
      </w:pPr>
      <w:r>
        <w:t>Il d.lgs. 30 giugno 2011, n. 123, all’art. 5, c. 2, lettera e), prevede che ogni accordo pattizio, anche di sede, venga inviato all’Ufficio centrale di bilancio per il controllo di regolarità amministrativo-contabile.</w:t>
      </w:r>
    </w:p>
    <w:p w:rsidR="00B371A7" w:rsidRDefault="00B8424F">
      <w:pPr>
        <w:pStyle w:val="Standard"/>
        <w:ind w:firstLine="0"/>
      </w:pPr>
      <w:r>
        <w:t xml:space="preserve">Il Dipartimento della Ragioneria Generale dello Stato, ai sensi dell’articolo 40, comma 3-sexies, del </w:t>
      </w:r>
      <w:proofErr w:type="spellStart"/>
      <w:r>
        <w:t>d.lgs</w:t>
      </w:r>
      <w:proofErr w:type="spellEnd"/>
      <w:r>
        <w:t xml:space="preserve"> n. 165/2001, d’intesa con il Dipartimento della Funzione Pubblica, con la circolare n° 25 del 19 luglio 2012 ha predisposto lo “</w:t>
      </w:r>
      <w:r>
        <w:rPr>
          <w:i/>
        </w:rPr>
        <w:t>Schema standard di relazione illustrativa</w:t>
      </w:r>
      <w:r>
        <w:t>”.</w:t>
      </w:r>
    </w:p>
    <w:p w:rsidR="00B371A7" w:rsidRDefault="00B371A7">
      <w:pPr>
        <w:pStyle w:val="Standard"/>
        <w:ind w:firstLine="0"/>
      </w:pPr>
    </w:p>
    <w:p w:rsidR="00B371A7" w:rsidRDefault="00B8424F">
      <w:pPr>
        <w:pStyle w:val="Standard"/>
        <w:ind w:firstLine="0"/>
      </w:pPr>
      <w:r>
        <w:t>La presente relazione illustrativa è redatta sulla base di tale schema obbligatorio.</w:t>
      </w:r>
    </w:p>
    <w:p w:rsidR="00B371A7" w:rsidRDefault="00B371A7">
      <w:pPr>
        <w:pStyle w:val="Standard"/>
      </w:pPr>
    </w:p>
    <w:p w:rsidR="00B371A7" w:rsidRDefault="00B371A7">
      <w:pPr>
        <w:pStyle w:val="Standard"/>
      </w:pPr>
    </w:p>
    <w:p w:rsidR="00B371A7" w:rsidRDefault="00B371A7">
      <w:pPr>
        <w:pStyle w:val="Standard"/>
      </w:pPr>
    </w:p>
    <w:p w:rsidR="00B371A7" w:rsidRDefault="00B8424F">
      <w:pPr>
        <w:pStyle w:val="Standard"/>
        <w:ind w:firstLine="0"/>
        <w:jc w:val="center"/>
      </w:pPr>
      <w:r>
        <w:rPr>
          <w:b/>
          <w:i/>
          <w:sz w:val="20"/>
        </w:rPr>
        <w:t>Modulo 1 - Scheda 1.1</w:t>
      </w:r>
    </w:p>
    <w:p w:rsidR="00B371A7" w:rsidRDefault="00B8424F">
      <w:pPr>
        <w:pStyle w:val="Standard"/>
        <w:ind w:firstLine="0"/>
        <w:jc w:val="center"/>
      </w:pPr>
      <w:r>
        <w:rPr>
          <w:b/>
          <w:i/>
          <w:sz w:val="20"/>
        </w:rPr>
        <w:t>Illustrazione degli aspetti procedurali, sintesi del contenuto del contratto ed autodichiarazione relativa agli adempimenti della legge</w:t>
      </w:r>
    </w:p>
    <w:tbl>
      <w:tblPr>
        <w:tblW w:w="960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2"/>
        <w:gridCol w:w="2910"/>
        <w:gridCol w:w="4554"/>
      </w:tblGrid>
      <w:tr w:rsidR="00B371A7">
        <w:tc>
          <w:tcPr>
            <w:tcW w:w="3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firstLine="0"/>
            </w:pPr>
            <w:r>
              <w:rPr>
                <w:b/>
                <w:sz w:val="20"/>
              </w:rPr>
              <w:t>Data di sottoscrizione</w:t>
            </w:r>
          </w:p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1A7" w:rsidRDefault="00074C72">
            <w:pPr>
              <w:pStyle w:val="Standard"/>
              <w:ind w:firstLine="0"/>
              <w:rPr>
                <w:shd w:val="clear" w:color="auto" w:fill="FFFF00"/>
              </w:rPr>
            </w:pPr>
            <w:r w:rsidRPr="00854D8D">
              <w:rPr>
                <w:szCs w:val="22"/>
              </w:rPr>
              <w:t>15/11/2018</w:t>
            </w:r>
          </w:p>
        </w:tc>
      </w:tr>
      <w:tr w:rsidR="00B371A7">
        <w:tc>
          <w:tcPr>
            <w:tcW w:w="3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firstLine="0"/>
            </w:pPr>
            <w:r>
              <w:rPr>
                <w:b/>
                <w:sz w:val="20"/>
              </w:rPr>
              <w:t>Periodo temporale di vigenza</w:t>
            </w:r>
          </w:p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1° gennaio – 31 dicembre 2016</w:t>
            </w:r>
          </w:p>
        </w:tc>
      </w:tr>
      <w:tr w:rsidR="00B371A7">
        <w:trPr>
          <w:trHeight w:val="730"/>
        </w:trPr>
        <w:tc>
          <w:tcPr>
            <w:tcW w:w="3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firstLine="0"/>
            </w:pPr>
            <w:r>
              <w:rPr>
                <w:b/>
                <w:sz w:val="20"/>
              </w:rPr>
              <w:t>Composizione</w:t>
            </w:r>
            <w:r>
              <w:rPr>
                <w:b/>
                <w:sz w:val="20"/>
              </w:rPr>
              <w:br/>
              <w:t>della delegazione trattante</w:t>
            </w:r>
          </w:p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Parte Pubblica (ruoli/ qualifiche ricoperti):</w:t>
            </w:r>
          </w:p>
          <w:p w:rsidR="00B371A7" w:rsidRDefault="00B8424F">
            <w:pPr>
              <w:pStyle w:val="Paragrafoelenco"/>
              <w:numPr>
                <w:ilvl w:val="0"/>
                <w:numId w:val="5"/>
              </w:numPr>
              <w:ind w:left="709"/>
              <w:jc w:val="both"/>
            </w:pPr>
            <w:r>
              <w:rPr>
                <w:rFonts w:ascii="Calibri" w:hAnsi="Calibri"/>
                <w:sz w:val="22"/>
                <w:szCs w:val="22"/>
              </w:rPr>
              <w:t xml:space="preserve">Prof. Giuseppe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Valditara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– Presidente - Capo del Dipartimento</w:t>
            </w:r>
          </w:p>
          <w:p w:rsidR="00B371A7" w:rsidRDefault="00B8424F">
            <w:pPr>
              <w:pStyle w:val="Paragrafoelenco"/>
              <w:numPr>
                <w:ilvl w:val="0"/>
                <w:numId w:val="1"/>
              </w:numPr>
              <w:ind w:left="709"/>
              <w:jc w:val="both"/>
            </w:pPr>
            <w:r>
              <w:rPr>
                <w:rFonts w:ascii="Calibri" w:hAnsi="Calibri"/>
                <w:sz w:val="22"/>
                <w:szCs w:val="22"/>
              </w:rPr>
              <w:t>Dott. Vincenzo Di Felice – Vice presidente –Dirigente I fascia;</w:t>
            </w:r>
          </w:p>
          <w:p w:rsidR="00B371A7" w:rsidRDefault="00B8424F">
            <w:pPr>
              <w:pStyle w:val="Paragrafoelenco"/>
              <w:numPr>
                <w:ilvl w:val="0"/>
                <w:numId w:val="1"/>
              </w:numPr>
              <w:ind w:left="709"/>
              <w:jc w:val="both"/>
            </w:pPr>
            <w:r>
              <w:rPr>
                <w:rFonts w:ascii="Calibri" w:hAnsi="Calibri"/>
                <w:sz w:val="22"/>
                <w:szCs w:val="22"/>
              </w:rPr>
              <w:t>Dott.ssa Maria Cristina Misiti, – componente -Dirigente di II fascia;</w:t>
            </w:r>
          </w:p>
          <w:p w:rsidR="00B371A7" w:rsidRDefault="00B8424F">
            <w:pPr>
              <w:pStyle w:val="Paragrafoelenco"/>
              <w:numPr>
                <w:ilvl w:val="0"/>
                <w:numId w:val="1"/>
              </w:numPr>
              <w:ind w:left="709"/>
              <w:jc w:val="both"/>
            </w:pPr>
            <w:r>
              <w:rPr>
                <w:rFonts w:ascii="Calibri" w:hAnsi="Calibri"/>
                <w:sz w:val="22"/>
                <w:szCs w:val="22"/>
              </w:rPr>
              <w:t>Dott. Gianluca Cerracchio, – componente - Dirigente di II fascia;</w:t>
            </w:r>
          </w:p>
          <w:p w:rsidR="00B371A7" w:rsidRDefault="00B8424F">
            <w:pPr>
              <w:pStyle w:val="Paragrafoelenco"/>
              <w:numPr>
                <w:ilvl w:val="0"/>
                <w:numId w:val="1"/>
              </w:numPr>
              <w:ind w:left="709"/>
              <w:jc w:val="both"/>
            </w:pPr>
            <w:r>
              <w:rPr>
                <w:rFonts w:ascii="Calibri" w:hAnsi="Calibri"/>
                <w:sz w:val="22"/>
                <w:szCs w:val="22"/>
              </w:rPr>
              <w:t>Dott.ssa Michele Moretta, – componente - Dirigente di II fascia;</w:t>
            </w:r>
          </w:p>
          <w:p w:rsidR="00B371A7" w:rsidRDefault="00B8424F">
            <w:pPr>
              <w:pStyle w:val="Paragrafoelenco"/>
              <w:numPr>
                <w:ilvl w:val="0"/>
                <w:numId w:val="1"/>
              </w:numPr>
              <w:ind w:left="709"/>
              <w:jc w:val="both"/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Dott.ssa Melissa Valentino, – componente - Dirigente di II fascia.</w:t>
            </w:r>
          </w:p>
          <w:p w:rsidR="00B371A7" w:rsidRDefault="00B371A7">
            <w:pPr>
              <w:pStyle w:val="Standard"/>
              <w:ind w:firstLine="0"/>
            </w:pPr>
          </w:p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RSU e Organizzazioni sindacali territoriali di categoria:</w:t>
            </w:r>
          </w:p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RSU n. 4</w:t>
            </w:r>
          </w:p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FP CGIL</w:t>
            </w:r>
          </w:p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CISL FP</w:t>
            </w:r>
          </w:p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UIL PA</w:t>
            </w:r>
          </w:p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CONFSAL-UNSA</w:t>
            </w:r>
          </w:p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FED NAZIONALE INTESA  FP</w:t>
            </w:r>
          </w:p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Organizzazioni sindacali firmatarie (elenco sigle):</w:t>
            </w:r>
          </w:p>
          <w:p w:rsidR="00B371A7" w:rsidRPr="00854D8D" w:rsidRDefault="00B8424F">
            <w:pPr>
              <w:pStyle w:val="Standard"/>
              <w:ind w:firstLine="0"/>
              <w:rPr>
                <w:sz w:val="20"/>
              </w:rPr>
            </w:pPr>
            <w:r w:rsidRPr="00854D8D">
              <w:rPr>
                <w:sz w:val="20"/>
              </w:rPr>
              <w:t>RSU n. 4</w:t>
            </w:r>
          </w:p>
          <w:p w:rsidR="00B371A7" w:rsidRDefault="00854D8D">
            <w:pPr>
              <w:pStyle w:val="Standard"/>
              <w:ind w:firstLine="0"/>
              <w:rPr>
                <w:sz w:val="20"/>
              </w:rPr>
            </w:pPr>
            <w:r w:rsidRPr="00854D8D">
              <w:rPr>
                <w:sz w:val="20"/>
              </w:rPr>
              <w:t>FPCGIL</w:t>
            </w:r>
          </w:p>
          <w:p w:rsidR="00854D8D" w:rsidRPr="00854D8D" w:rsidRDefault="00854D8D">
            <w:pPr>
              <w:pStyle w:val="Standard"/>
              <w:ind w:firstLine="0"/>
              <w:rPr>
                <w:sz w:val="20"/>
              </w:rPr>
            </w:pPr>
            <w:r>
              <w:rPr>
                <w:sz w:val="20"/>
              </w:rPr>
              <w:t>UIL PA</w:t>
            </w:r>
          </w:p>
          <w:p w:rsidR="00B371A7" w:rsidRDefault="00B371A7">
            <w:pPr>
              <w:pStyle w:val="Standard"/>
              <w:ind w:firstLine="0"/>
              <w:rPr>
                <w:sz w:val="20"/>
              </w:rPr>
            </w:pPr>
          </w:p>
        </w:tc>
      </w:tr>
      <w:tr w:rsidR="00B371A7">
        <w:trPr>
          <w:trHeight w:val="427"/>
        </w:trPr>
        <w:tc>
          <w:tcPr>
            <w:tcW w:w="3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firstLine="0"/>
            </w:pPr>
            <w:r>
              <w:rPr>
                <w:b/>
                <w:sz w:val="20"/>
              </w:rPr>
              <w:lastRenderedPageBreak/>
              <w:t>Soggetti destinatari</w:t>
            </w:r>
          </w:p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1A7" w:rsidRDefault="00B8424F">
            <w:pPr>
              <w:pStyle w:val="Standard"/>
              <w:ind w:firstLine="0"/>
            </w:pPr>
            <w:r>
              <w:rPr>
                <w:sz w:val="20"/>
                <w:szCs w:val="20"/>
              </w:rPr>
              <w:t>Comparto Ministeri – Personale non dirigente del Dipartimento per la formazione superiore e per la ricerca</w:t>
            </w:r>
          </w:p>
        </w:tc>
      </w:tr>
      <w:tr w:rsidR="00B371A7">
        <w:trPr>
          <w:trHeight w:val="724"/>
        </w:trPr>
        <w:tc>
          <w:tcPr>
            <w:tcW w:w="3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firstLine="0"/>
              <w:jc w:val="left"/>
            </w:pPr>
            <w:r>
              <w:rPr>
                <w:b/>
                <w:sz w:val="20"/>
              </w:rPr>
              <w:t>Materie trattate dal contratto integrativo (descrizione sintetica)</w:t>
            </w:r>
          </w:p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a) retribuzione di produttività collettiva</w:t>
            </w:r>
          </w:p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b) retribuzione di produttività individuale</w:t>
            </w:r>
          </w:p>
        </w:tc>
      </w:tr>
      <w:tr w:rsidR="00B371A7">
        <w:trPr>
          <w:cantSplit/>
          <w:trHeight w:val="1107"/>
        </w:trPr>
        <w:tc>
          <w:tcPr>
            <w:tcW w:w="14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left="113" w:right="113" w:firstLine="0"/>
              <w:jc w:val="center"/>
            </w:pPr>
            <w:r>
              <w:rPr>
                <w:b/>
                <w:sz w:val="20"/>
              </w:rPr>
              <w:t>Rispetto dell’iter</w:t>
            </w:r>
          </w:p>
          <w:p w:rsidR="00B371A7" w:rsidRDefault="00B8424F">
            <w:pPr>
              <w:pStyle w:val="Standard"/>
              <w:ind w:left="113" w:right="113" w:firstLine="0"/>
              <w:jc w:val="center"/>
            </w:pPr>
            <w:r>
              <w:rPr>
                <w:b/>
                <w:sz w:val="20"/>
              </w:rPr>
              <w:t>adempimenti procedurale</w:t>
            </w:r>
          </w:p>
          <w:p w:rsidR="00B371A7" w:rsidRDefault="00B8424F">
            <w:pPr>
              <w:pStyle w:val="Standard"/>
              <w:ind w:left="113" w:right="113" w:firstLine="0"/>
              <w:jc w:val="center"/>
            </w:pPr>
            <w:r>
              <w:rPr>
                <w:b/>
                <w:sz w:val="20"/>
              </w:rPr>
              <w:t xml:space="preserve"> e degli atti propedeutici e successivi alla contrattazione</w:t>
            </w:r>
          </w:p>
        </w:tc>
        <w:tc>
          <w:tcPr>
            <w:tcW w:w="19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firstLine="0"/>
              <w:jc w:val="left"/>
            </w:pPr>
            <w:r>
              <w:rPr>
                <w:b/>
                <w:sz w:val="20"/>
              </w:rPr>
              <w:t>Intervento dell’Organo di controllo interno.</w:t>
            </w:r>
          </w:p>
          <w:p w:rsidR="00B371A7" w:rsidRDefault="00B8424F">
            <w:pPr>
              <w:pStyle w:val="Standard"/>
              <w:ind w:firstLine="0"/>
              <w:jc w:val="left"/>
            </w:pPr>
            <w:r>
              <w:rPr>
                <w:b/>
                <w:sz w:val="20"/>
              </w:rPr>
              <w:t>Allegazione della Certificazione dell’Organo di controllo interno alla Relazione illustrativa.</w:t>
            </w:r>
          </w:p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371A7">
            <w:pPr>
              <w:pStyle w:val="Standard"/>
              <w:ind w:firstLine="0"/>
              <w:jc w:val="center"/>
              <w:rPr>
                <w:sz w:val="20"/>
              </w:rPr>
            </w:pPr>
          </w:p>
        </w:tc>
      </w:tr>
      <w:tr w:rsidR="00B371A7">
        <w:trPr>
          <w:cantSplit/>
          <w:trHeight w:val="919"/>
        </w:trPr>
        <w:tc>
          <w:tcPr>
            <w:tcW w:w="14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9A" w:rsidRDefault="0082049A"/>
        </w:tc>
        <w:tc>
          <w:tcPr>
            <w:tcW w:w="19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9A" w:rsidRDefault="0082049A"/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1A7" w:rsidRDefault="00B371A7">
            <w:pPr>
              <w:pStyle w:val="Standard"/>
              <w:ind w:firstLine="0"/>
              <w:rPr>
                <w:b/>
                <w:sz w:val="20"/>
              </w:rPr>
            </w:pPr>
          </w:p>
          <w:p w:rsidR="00B371A7" w:rsidRDefault="00B371A7">
            <w:pPr>
              <w:pStyle w:val="Standard"/>
              <w:ind w:firstLine="0"/>
              <w:jc w:val="center"/>
              <w:rPr>
                <w:sz w:val="20"/>
              </w:rPr>
            </w:pPr>
          </w:p>
        </w:tc>
      </w:tr>
      <w:tr w:rsidR="00B371A7">
        <w:trPr>
          <w:cantSplit/>
          <w:trHeight w:val="600"/>
        </w:trPr>
        <w:tc>
          <w:tcPr>
            <w:tcW w:w="14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9A" w:rsidRDefault="0082049A"/>
        </w:tc>
        <w:tc>
          <w:tcPr>
            <w:tcW w:w="19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firstLine="0"/>
              <w:jc w:val="left"/>
            </w:pPr>
            <w:r>
              <w:rPr>
                <w:b/>
                <w:sz w:val="20"/>
              </w:rPr>
              <w:t>Attestazione del rispetto degli obblighi di legge che in caso di inadempimento comportano la sanzione del divieto di erogazione della retribuzione accessoria</w:t>
            </w:r>
          </w:p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È stato adottato il Piano della performance 2016 –2018, previsto dall’art. 10 del d.lgs. 150/2009 (DM n. 262 del 20/4/2016)</w:t>
            </w:r>
          </w:p>
        </w:tc>
      </w:tr>
      <w:tr w:rsidR="00B371A7">
        <w:trPr>
          <w:cantSplit/>
          <w:trHeight w:val="500"/>
        </w:trPr>
        <w:tc>
          <w:tcPr>
            <w:tcW w:w="14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9A" w:rsidRDefault="0082049A"/>
        </w:tc>
        <w:tc>
          <w:tcPr>
            <w:tcW w:w="19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9A" w:rsidRDefault="0082049A"/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È stato adottato il Programma triennale per la trasparenza e l’integrità, 2016 – 2018 previsto dall’art. 11, comma 2 del d.lgs. 150/2009 (DM n. 37 del 29/1/2016)</w:t>
            </w:r>
          </w:p>
        </w:tc>
      </w:tr>
      <w:tr w:rsidR="00B371A7">
        <w:trPr>
          <w:cantSplit/>
          <w:trHeight w:val="610"/>
        </w:trPr>
        <w:tc>
          <w:tcPr>
            <w:tcW w:w="14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9A" w:rsidRDefault="0082049A"/>
        </w:tc>
        <w:tc>
          <w:tcPr>
            <w:tcW w:w="19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9A" w:rsidRDefault="0082049A"/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Default="00B8424F">
            <w:pPr>
              <w:pStyle w:val="Standard"/>
              <w:ind w:firstLine="0"/>
            </w:pPr>
            <w:r>
              <w:rPr>
                <w:sz w:val="20"/>
              </w:rPr>
              <w:t>È stato assolto l’obbligo di pubblicazione di cui ai commi 6 e 8 dell’art. 11 del d.lgs. 150/2009</w:t>
            </w:r>
          </w:p>
        </w:tc>
      </w:tr>
      <w:tr w:rsidR="00B371A7">
        <w:trPr>
          <w:cantSplit/>
          <w:trHeight w:val="610"/>
        </w:trPr>
        <w:tc>
          <w:tcPr>
            <w:tcW w:w="14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9A" w:rsidRDefault="0082049A"/>
        </w:tc>
        <w:tc>
          <w:tcPr>
            <w:tcW w:w="194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2049A" w:rsidRDefault="0082049A"/>
        </w:tc>
        <w:tc>
          <w:tcPr>
            <w:tcW w:w="30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71A7" w:rsidRPr="00662779" w:rsidRDefault="00B8424F" w:rsidP="00662779">
            <w:pPr>
              <w:pStyle w:val="Standard"/>
              <w:ind w:firstLine="0"/>
              <w:rPr>
                <w:sz w:val="20"/>
                <w:szCs w:val="20"/>
                <w:shd w:val="clear" w:color="auto" w:fill="FFFF00"/>
              </w:rPr>
            </w:pPr>
            <w:r w:rsidRPr="00662779">
              <w:rPr>
                <w:sz w:val="20"/>
                <w:szCs w:val="20"/>
              </w:rPr>
              <w:t xml:space="preserve">Con il DM </w:t>
            </w:r>
            <w:r w:rsidR="00662779">
              <w:rPr>
                <w:sz w:val="20"/>
                <w:szCs w:val="20"/>
              </w:rPr>
              <w:t>262</w:t>
            </w:r>
            <w:r w:rsidRPr="00662779">
              <w:rPr>
                <w:sz w:val="20"/>
                <w:szCs w:val="20"/>
              </w:rPr>
              <w:t xml:space="preserve"> del 2</w:t>
            </w:r>
            <w:r w:rsidR="00662779">
              <w:rPr>
                <w:sz w:val="20"/>
                <w:szCs w:val="20"/>
              </w:rPr>
              <w:t>0</w:t>
            </w:r>
            <w:r w:rsidRPr="00662779">
              <w:rPr>
                <w:sz w:val="20"/>
                <w:szCs w:val="20"/>
              </w:rPr>
              <w:t xml:space="preserve"> </w:t>
            </w:r>
            <w:r w:rsidR="00662779">
              <w:rPr>
                <w:sz w:val="20"/>
                <w:szCs w:val="20"/>
              </w:rPr>
              <w:t>aprile</w:t>
            </w:r>
            <w:r w:rsidRPr="00662779">
              <w:rPr>
                <w:sz w:val="20"/>
                <w:szCs w:val="20"/>
              </w:rPr>
              <w:t xml:space="preserve"> 2016, è stata adottata la Relazione della </w:t>
            </w:r>
            <w:r w:rsidR="00662779">
              <w:rPr>
                <w:sz w:val="20"/>
                <w:szCs w:val="20"/>
              </w:rPr>
              <w:t>Performance</w:t>
            </w:r>
          </w:p>
        </w:tc>
      </w:tr>
      <w:tr w:rsidR="00B371A7">
        <w:trPr>
          <w:trHeight w:val="1265"/>
        </w:trPr>
        <w:tc>
          <w:tcPr>
            <w:tcW w:w="640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71A7" w:rsidRDefault="00B8424F">
            <w:pPr>
              <w:pStyle w:val="Standard"/>
              <w:ind w:firstLine="0"/>
            </w:pPr>
            <w:r>
              <w:rPr>
                <w:b/>
                <w:sz w:val="20"/>
              </w:rPr>
              <w:t>Eventuali osservazioni</w:t>
            </w:r>
          </w:p>
        </w:tc>
      </w:tr>
    </w:tbl>
    <w:p w:rsidR="00B371A7" w:rsidRDefault="00B8424F">
      <w:pPr>
        <w:pStyle w:val="Standard"/>
        <w:jc w:val="center"/>
      </w:pPr>
      <w:r>
        <w:rPr>
          <w:i/>
        </w:rPr>
        <w:t>Modulo 2 – Illustrazione dell’articolato del contratto</w:t>
      </w:r>
    </w:p>
    <w:p w:rsidR="00B371A7" w:rsidRDefault="00B371A7">
      <w:pPr>
        <w:pStyle w:val="Standard"/>
      </w:pPr>
      <w:bookmarkStart w:id="0" w:name="_GoBack"/>
      <w:bookmarkEnd w:id="0"/>
    </w:p>
    <w:p w:rsidR="00B371A7" w:rsidRDefault="00B8424F">
      <w:pPr>
        <w:pStyle w:val="Standard"/>
      </w:pPr>
      <w:r>
        <w:t>Il contratto collettivo integrativo di sede, è composto di due parti:</w:t>
      </w:r>
    </w:p>
    <w:p w:rsidR="00B371A7" w:rsidRDefault="00B8424F">
      <w:pPr>
        <w:pStyle w:val="Paragrafoelenco"/>
        <w:numPr>
          <w:ilvl w:val="0"/>
          <w:numId w:val="1"/>
        </w:numPr>
      </w:pPr>
      <w:r>
        <w:rPr>
          <w:rFonts w:ascii="Calibri" w:hAnsi="Calibri"/>
        </w:rPr>
        <w:t>premessa</w:t>
      </w:r>
    </w:p>
    <w:p w:rsidR="00B371A7" w:rsidRDefault="00B8424F">
      <w:pPr>
        <w:pStyle w:val="Paragrafoelenco"/>
        <w:numPr>
          <w:ilvl w:val="0"/>
          <w:numId w:val="1"/>
        </w:numPr>
      </w:pPr>
      <w:r>
        <w:rPr>
          <w:rFonts w:ascii="Calibri" w:hAnsi="Calibri"/>
        </w:rPr>
        <w:t>articolato</w:t>
      </w:r>
    </w:p>
    <w:p w:rsidR="00B371A7" w:rsidRDefault="00B8424F">
      <w:pPr>
        <w:pStyle w:val="Standard"/>
      </w:pPr>
      <w:r>
        <w:t>e contempla due tabelle (allegati 1 e 2).</w:t>
      </w:r>
    </w:p>
    <w:p w:rsidR="00B371A7" w:rsidRDefault="00B371A7">
      <w:pPr>
        <w:pStyle w:val="Standard"/>
      </w:pPr>
    </w:p>
    <w:p w:rsidR="00B371A7" w:rsidRDefault="00B8424F">
      <w:pPr>
        <w:pStyle w:val="Standard"/>
      </w:pPr>
      <w:r>
        <w:t>PREMESSA</w:t>
      </w:r>
    </w:p>
    <w:p w:rsidR="00B371A7" w:rsidRDefault="00B8424F">
      <w:pPr>
        <w:pStyle w:val="Standard"/>
        <w:ind w:right="86"/>
      </w:pPr>
      <w:r>
        <w:rPr>
          <w:rFonts w:cs="Tahoma"/>
        </w:rPr>
        <w:t>Nella premessa viene richiamato il C.C.N.I. 7 settembre 2018, n° 1/2018, certificato dagli organi di controllo, che definisce i criteri e le modalità di utilizzazione del Fondo Unico di Amministrazione per l’anno 2016 e dal quale deriva la risorsa finanziaria disponibile per la contrattazione di sede in epigrafe.</w:t>
      </w:r>
    </w:p>
    <w:p w:rsidR="00B371A7" w:rsidRDefault="00B8424F">
      <w:pPr>
        <w:pStyle w:val="Standard"/>
        <w:ind w:right="86"/>
      </w:pPr>
      <w:r>
        <w:rPr>
          <w:rFonts w:cs="Tahoma"/>
        </w:rPr>
        <w:t xml:space="preserve">In particolare l’articolo 1 e 6 del menzionato C.C.N.I. individuano, rispettivamente, i destinatari dell’accordo e le risorse destinate, tra le altre, alla contrattazione di sede del Dipartimento </w:t>
      </w:r>
      <w:r>
        <w:rPr>
          <w:szCs w:val="22"/>
        </w:rPr>
        <w:t>per la formazione superiore e per la ricerca.</w:t>
      </w:r>
    </w:p>
    <w:p w:rsidR="00B371A7" w:rsidRDefault="00B8424F">
      <w:pPr>
        <w:pStyle w:val="Standard"/>
        <w:ind w:right="64"/>
      </w:pPr>
      <w:r>
        <w:t>I contraenti sottoscrivono l’ipotesi di contratto in analogia al Contratto Collettivo Integrativo di sede relativo al FUA 2015</w:t>
      </w:r>
    </w:p>
    <w:p w:rsidR="00B371A7" w:rsidRDefault="00B371A7">
      <w:pPr>
        <w:pStyle w:val="Standard"/>
        <w:ind w:right="-143"/>
      </w:pPr>
    </w:p>
    <w:p w:rsidR="00B371A7" w:rsidRDefault="00B8424F">
      <w:pPr>
        <w:pStyle w:val="Standard"/>
      </w:pPr>
      <w:r>
        <w:t>ARTICOLATO</w:t>
      </w:r>
    </w:p>
    <w:p w:rsidR="00B371A7" w:rsidRDefault="00B8424F">
      <w:pPr>
        <w:pStyle w:val="Standard"/>
      </w:pPr>
      <w:r>
        <w:t>Art. 1</w:t>
      </w:r>
    </w:p>
    <w:p w:rsidR="00B371A7" w:rsidRDefault="00B8424F">
      <w:pPr>
        <w:pStyle w:val="Standard"/>
        <w:spacing w:after="0"/>
        <w:ind w:right="75"/>
      </w:pPr>
      <w:r>
        <w:t xml:space="preserve">Sulla base della ricognizione del personale in servizio presso il Dipartimento al 31/12/2016 viene rideterminata la risorsa finanziaria </w:t>
      </w:r>
      <w:r>
        <w:rPr>
          <w:spacing w:val="20"/>
        </w:rPr>
        <w:t xml:space="preserve">sulla base </w:t>
      </w:r>
      <w:r>
        <w:t>di n. 206 unità accertate</w:t>
      </w:r>
    </w:p>
    <w:p w:rsidR="00B371A7" w:rsidRDefault="00B8424F">
      <w:pPr>
        <w:pStyle w:val="Standard"/>
        <w:ind w:right="-143"/>
      </w:pPr>
      <w:r>
        <w:rPr>
          <w:rFonts w:cs="Tahoma"/>
        </w:rPr>
        <w:t>Art. 2</w:t>
      </w:r>
    </w:p>
    <w:p w:rsidR="00B371A7" w:rsidRDefault="00B8424F">
      <w:pPr>
        <w:pStyle w:val="Standard"/>
        <w:ind w:right="75"/>
      </w:pPr>
      <w:r>
        <w:rPr>
          <w:rFonts w:cs="Tahoma"/>
        </w:rPr>
        <w:t>Nel secondo articolo si disciplina l’istituto della produttività collettiva connessa al raggiungimento degli obiettivi strategici dell’amministrazione, di cui alla Relazione sulla Performance 2016.</w:t>
      </w:r>
    </w:p>
    <w:p w:rsidR="00B371A7" w:rsidRDefault="00B8424F">
      <w:pPr>
        <w:pStyle w:val="Standard"/>
        <w:ind w:right="-143"/>
      </w:pPr>
      <w:r>
        <w:rPr>
          <w:rFonts w:cs="Tahoma"/>
        </w:rPr>
        <w:t>Art. 3</w:t>
      </w:r>
    </w:p>
    <w:p w:rsidR="00B371A7" w:rsidRDefault="00B8424F">
      <w:pPr>
        <w:pStyle w:val="Standard"/>
        <w:ind w:right="75"/>
      </w:pPr>
      <w:r>
        <w:rPr>
          <w:rFonts w:cs="Tahoma"/>
        </w:rPr>
        <w:t>L’articolo è riferito alla disciplina dell’istituto della retribuzione della produttività individuale sulla base della valutazione dell’attività svolta da ciascun impiegato nell’anno di riferimento.</w:t>
      </w:r>
    </w:p>
    <w:p w:rsidR="00B371A7" w:rsidRDefault="00B8424F">
      <w:pPr>
        <w:pStyle w:val="Standard"/>
        <w:ind w:right="-143"/>
      </w:pPr>
      <w:r>
        <w:rPr>
          <w:rFonts w:cs="Tahoma"/>
        </w:rPr>
        <w:t>Art. 4</w:t>
      </w:r>
    </w:p>
    <w:p w:rsidR="00B371A7" w:rsidRDefault="00B8424F">
      <w:pPr>
        <w:pStyle w:val="Standard"/>
        <w:ind w:right="150"/>
      </w:pPr>
      <w:r>
        <w:rPr>
          <w:rFonts w:cs="Tahoma"/>
        </w:rPr>
        <w:lastRenderedPageBreak/>
        <w:t>L’articolo posto in rassegna attiene ai criteri di attribuzione della retribuzione della produttività individuale.</w:t>
      </w:r>
    </w:p>
    <w:p w:rsidR="00B371A7" w:rsidRDefault="00B8424F">
      <w:pPr>
        <w:pStyle w:val="Standard"/>
        <w:ind w:right="-143"/>
      </w:pPr>
      <w:r>
        <w:rPr>
          <w:rFonts w:cs="Tahoma"/>
        </w:rPr>
        <w:t>Art. 5</w:t>
      </w:r>
    </w:p>
    <w:p w:rsidR="00B371A7" w:rsidRDefault="00B8424F">
      <w:pPr>
        <w:pStyle w:val="Standard"/>
        <w:ind w:right="204"/>
      </w:pPr>
      <w:r>
        <w:rPr>
          <w:rFonts w:cs="Tahoma"/>
        </w:rPr>
        <w:t>L’articolo fa riferimento alle norme finali circa le modalità di pubblicizzazione delle risultanze del processo per la definizione della produttività collettiva e individuale.</w:t>
      </w:r>
    </w:p>
    <w:p w:rsidR="00B371A7" w:rsidRDefault="00B371A7">
      <w:pPr>
        <w:pStyle w:val="Standard"/>
        <w:ind w:right="-143"/>
        <w:rPr>
          <w:rFonts w:cs="Tahoma"/>
        </w:rPr>
      </w:pPr>
    </w:p>
    <w:p w:rsidR="00B371A7" w:rsidRDefault="00B8424F">
      <w:pPr>
        <w:pStyle w:val="Standard"/>
        <w:ind w:right="-143"/>
      </w:pPr>
      <w:r>
        <w:rPr>
          <w:rFonts w:cs="Tahoma"/>
        </w:rPr>
        <w:t>ALLEGATI</w:t>
      </w:r>
    </w:p>
    <w:p w:rsidR="00B371A7" w:rsidRDefault="00B8424F">
      <w:pPr>
        <w:pStyle w:val="Standard"/>
        <w:ind w:right="-143"/>
      </w:pPr>
      <w:r>
        <w:rPr>
          <w:rFonts w:cs="Tahoma"/>
          <w:szCs w:val="22"/>
        </w:rPr>
        <w:t>Gli allegati 1 e 2, rappresentano, rispettivamente:</w:t>
      </w:r>
    </w:p>
    <w:p w:rsidR="00B371A7" w:rsidRDefault="00B8424F">
      <w:pPr>
        <w:pStyle w:val="Standard"/>
        <w:numPr>
          <w:ilvl w:val="0"/>
          <w:numId w:val="6"/>
        </w:numPr>
        <w:spacing w:after="0"/>
        <w:ind w:right="-143"/>
      </w:pPr>
      <w:r>
        <w:rPr>
          <w:rFonts w:cs="Tahoma"/>
          <w:szCs w:val="22"/>
        </w:rPr>
        <w:t>la scheda per l’attribuzione dei coefficienti per la corresponsione della produttività individuale;</w:t>
      </w:r>
    </w:p>
    <w:p w:rsidR="00B371A7" w:rsidRDefault="00B8424F">
      <w:pPr>
        <w:pStyle w:val="Standard"/>
        <w:numPr>
          <w:ilvl w:val="0"/>
          <w:numId w:val="4"/>
        </w:numPr>
        <w:spacing w:after="0"/>
        <w:ind w:right="161"/>
      </w:pPr>
      <w:r>
        <w:rPr>
          <w:rFonts w:cs="Tahoma"/>
          <w:szCs w:val="22"/>
        </w:rPr>
        <w:t xml:space="preserve">le distinte risorse finanziarie destinate agli Uffici di supporto e alle tre Direzioni generali del Dipartimento per </w:t>
      </w:r>
      <w:r>
        <w:rPr>
          <w:szCs w:val="22"/>
        </w:rPr>
        <w:t>la formazione superiore e per la ricerca.</w:t>
      </w:r>
    </w:p>
    <w:p w:rsidR="00B371A7" w:rsidRDefault="00B371A7">
      <w:pPr>
        <w:pStyle w:val="Standard"/>
        <w:ind w:left="360" w:right="-143"/>
        <w:rPr>
          <w:rFonts w:cs="Tahoma"/>
          <w:szCs w:val="22"/>
        </w:rPr>
      </w:pPr>
    </w:p>
    <w:p w:rsidR="00B371A7" w:rsidRDefault="00B8424F">
      <w:pPr>
        <w:pStyle w:val="Standard"/>
        <w:ind w:right="-143"/>
      </w:pPr>
      <w:r>
        <w:rPr>
          <w:rFonts w:cs="Tahoma"/>
          <w:u w:val="single"/>
        </w:rPr>
        <w:t>Quadro di sintesi delle modalità di utilizzo del Fondo</w:t>
      </w:r>
    </w:p>
    <w:p w:rsidR="00B371A7" w:rsidRDefault="00B371A7">
      <w:pPr>
        <w:pStyle w:val="Standard"/>
        <w:ind w:right="-143"/>
        <w:rPr>
          <w:rFonts w:cs="Tahoma"/>
          <w:szCs w:val="22"/>
        </w:rPr>
      </w:pPr>
    </w:p>
    <w:tbl>
      <w:tblPr>
        <w:tblW w:w="7280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80"/>
      </w:tblGrid>
      <w:tr w:rsidR="00B371A7">
        <w:trPr>
          <w:trHeight w:val="362"/>
        </w:trPr>
        <w:tc>
          <w:tcPr>
            <w:tcW w:w="7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371A7" w:rsidRDefault="00B8424F">
            <w:pPr>
              <w:pStyle w:val="Standard"/>
            </w:pPr>
            <w:r>
              <w:rPr>
                <w:szCs w:val="22"/>
              </w:rPr>
              <w:t>La retribuzione collettiva parte dal presupposto che tutti i dipendenti hanno contribuito al raggiungimento degli obiettivi strategici che l’amministrazione si è posta per l’anno 2016.</w:t>
            </w:r>
          </w:p>
        </w:tc>
      </w:tr>
      <w:tr w:rsidR="00B371A7">
        <w:trPr>
          <w:trHeight w:val="344"/>
        </w:trPr>
        <w:tc>
          <w:tcPr>
            <w:tcW w:w="7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371A7" w:rsidRDefault="00B8424F">
            <w:pPr>
              <w:pStyle w:val="Standard"/>
            </w:pPr>
            <w:r>
              <w:rPr>
                <w:szCs w:val="22"/>
              </w:rPr>
              <w:t>Invece, con la produttività individuale si attesta il peso attribuito a ciascun beneficiario a fronte del livello qualitativo sotteso al conseguimento degli obiettivi della propria unità organizzativa.</w:t>
            </w:r>
          </w:p>
          <w:p w:rsidR="00B371A7" w:rsidRDefault="00B8424F">
            <w:pPr>
              <w:pStyle w:val="Standard"/>
            </w:pPr>
            <w:r>
              <w:rPr>
                <w:szCs w:val="22"/>
              </w:rPr>
              <w:t>Tale peso deriva dall’impiego di 6 criteri di valutazione per ognuno dei quali è previsto un coefficiente minimo e massimo ai fini del raggiungimento complessivo della valutazione dell’opera svolta dal dipendente.</w:t>
            </w:r>
          </w:p>
        </w:tc>
      </w:tr>
    </w:tbl>
    <w:p w:rsidR="00B371A7" w:rsidRDefault="00B371A7">
      <w:pPr>
        <w:pStyle w:val="Standard"/>
        <w:ind w:right="-143"/>
        <w:rPr>
          <w:rFonts w:cs="Tahoma"/>
          <w:szCs w:val="22"/>
        </w:rPr>
      </w:pPr>
    </w:p>
    <w:p w:rsidR="00B371A7" w:rsidRDefault="00B8424F">
      <w:pPr>
        <w:pStyle w:val="Standard"/>
        <w:ind w:right="150"/>
      </w:pPr>
      <w:r>
        <w:rPr>
          <w:rFonts w:cs="Tahoma"/>
        </w:rPr>
        <w:t xml:space="preserve">In coerenza con le previsioni contenute nel Titolo III del d.lgs. 150/2009 e con le norme contrattuali, si attesta che l’entità degli incentivi retributivi accessori è stata individuata secondo il grado di </w:t>
      </w:r>
      <w:r>
        <w:rPr>
          <w:rFonts w:cs="Tahoma"/>
          <w:i/>
        </w:rPr>
        <w:t>performance</w:t>
      </w:r>
      <w:r>
        <w:rPr>
          <w:rFonts w:cs="Tahoma"/>
        </w:rPr>
        <w:t xml:space="preserve"> individuale e collettiva, come sopra specificato, nell’analitica descrizione dell’articolato di cui si compone il contratto del quale qui si relaziona.</w:t>
      </w:r>
    </w:p>
    <w:p w:rsidR="00B371A7" w:rsidRDefault="00B371A7">
      <w:pPr>
        <w:pStyle w:val="Standard"/>
        <w:ind w:right="-143"/>
        <w:rPr>
          <w:rFonts w:cs="Tahoma"/>
        </w:rPr>
      </w:pPr>
    </w:p>
    <w:p w:rsidR="00B371A7" w:rsidRDefault="00B371A7">
      <w:pPr>
        <w:pStyle w:val="Standard"/>
        <w:ind w:left="1620" w:right="-143" w:hanging="1620"/>
        <w:rPr>
          <w:shd w:val="clear" w:color="auto" w:fill="FFFF00"/>
        </w:rPr>
      </w:pPr>
    </w:p>
    <w:p w:rsidR="00B371A7" w:rsidRDefault="00B371A7">
      <w:pPr>
        <w:pStyle w:val="Standard"/>
        <w:ind w:left="1620" w:right="-143" w:hanging="1620"/>
        <w:rPr>
          <w:shd w:val="clear" w:color="auto" w:fill="FFFF00"/>
        </w:rPr>
      </w:pPr>
    </w:p>
    <w:p w:rsidR="00B371A7" w:rsidRDefault="00B8424F">
      <w:pPr>
        <w:pStyle w:val="Textbodyindent"/>
        <w:ind w:left="6300"/>
        <w:jc w:val="center"/>
      </w:pPr>
      <w:r>
        <w:rPr>
          <w:rFonts w:cs="Tahoma"/>
          <w:sz w:val="24"/>
        </w:rPr>
        <w:t>IL CAPO DIPARTIMENTO</w:t>
      </w:r>
    </w:p>
    <w:p w:rsidR="00B371A7" w:rsidRDefault="00B8424F">
      <w:pPr>
        <w:pStyle w:val="Textbodyindent"/>
        <w:ind w:left="6300"/>
        <w:jc w:val="center"/>
      </w:pPr>
      <w:r>
        <w:rPr>
          <w:rFonts w:cs="Tahoma"/>
          <w:i/>
          <w:sz w:val="24"/>
        </w:rPr>
        <w:t xml:space="preserve">Prof. Giuseppe </w:t>
      </w:r>
      <w:proofErr w:type="spellStart"/>
      <w:r>
        <w:rPr>
          <w:rFonts w:cs="Tahoma"/>
          <w:i/>
          <w:sz w:val="24"/>
        </w:rPr>
        <w:t>Valditara</w:t>
      </w:r>
      <w:proofErr w:type="spellEnd"/>
    </w:p>
    <w:p w:rsidR="00B371A7" w:rsidRDefault="00B371A7">
      <w:pPr>
        <w:pStyle w:val="Standard"/>
        <w:spacing w:after="0"/>
      </w:pPr>
    </w:p>
    <w:sectPr w:rsidR="00B371A7">
      <w:headerReference w:type="default" r:id="rId8"/>
      <w:pgSz w:w="11906" w:h="16838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49A" w:rsidRDefault="00B8424F">
      <w:pPr>
        <w:spacing w:after="0" w:line="240" w:lineRule="auto"/>
      </w:pPr>
      <w:r>
        <w:separator/>
      </w:r>
    </w:p>
  </w:endnote>
  <w:endnote w:type="continuationSeparator" w:id="0">
    <w:p w:rsidR="0082049A" w:rsidRDefault="00B84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49A" w:rsidRDefault="00B8424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2049A" w:rsidRDefault="00B84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C72" w:rsidRDefault="00B8424F">
    <w:pPr>
      <w:pStyle w:val="Standard"/>
      <w:keepNext/>
      <w:spacing w:after="0"/>
      <w:ind w:firstLine="0"/>
      <w:jc w:val="center"/>
      <w:outlineLvl w:val="0"/>
      <w:rPr>
        <w:rFonts w:ascii="Kunstler Script" w:hAnsi="Kunstler Script"/>
        <w:b/>
        <w:i/>
        <w:color w:val="000000"/>
        <w:sz w:val="64"/>
        <w:szCs w:val="64"/>
      </w:rPr>
    </w:pPr>
    <w:r>
      <w:rPr>
        <w:noProof/>
      </w:rPr>
      <w:drawing>
        <wp:inline distT="0" distB="0" distL="0" distR="0">
          <wp:extent cx="723240" cy="723240"/>
          <wp:effectExtent l="0" t="0" r="660" b="660"/>
          <wp:docPr id="1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240" cy="72324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C83377" w:rsidRDefault="00B8424F">
    <w:pPr>
      <w:pStyle w:val="Standard"/>
      <w:keepNext/>
      <w:spacing w:after="0"/>
      <w:ind w:firstLine="0"/>
      <w:jc w:val="center"/>
      <w:outlineLvl w:val="0"/>
    </w:pPr>
    <w:r>
      <w:rPr>
        <w:rFonts w:ascii="Kunstler Script" w:hAnsi="Kunstler Script"/>
        <w:b/>
        <w:i/>
        <w:color w:val="000000"/>
        <w:sz w:val="64"/>
        <w:szCs w:val="64"/>
      </w:rPr>
      <w:t>Ministero dell’Istruzione, dell’Università e della Ricerca</w:t>
    </w:r>
  </w:p>
  <w:p w:rsidR="00C83377" w:rsidRDefault="00B8424F">
    <w:pPr>
      <w:pStyle w:val="Standard"/>
      <w:spacing w:after="0"/>
      <w:ind w:firstLine="0"/>
      <w:jc w:val="center"/>
    </w:pPr>
    <w:r>
      <w:rPr>
        <w:rFonts w:ascii="Times New Roman" w:hAnsi="Times New Roman"/>
        <w:i/>
        <w:iCs/>
        <w:color w:val="000000"/>
        <w:sz w:val="20"/>
        <w:szCs w:val="20"/>
      </w:rPr>
      <w:t>Dipartimento per la Formazione Superiore e per la Ricerca</w:t>
    </w:r>
  </w:p>
  <w:p w:rsidR="00C83377" w:rsidRDefault="00662779">
    <w:pPr>
      <w:pStyle w:val="Titolo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6307C"/>
    <w:multiLevelType w:val="multilevel"/>
    <w:tmpl w:val="943643F0"/>
    <w:styleLink w:val="WWNum3"/>
    <w:lvl w:ilvl="0">
      <w:start w:val="1"/>
      <w:numFmt w:val="lowerLetter"/>
      <w:lvlText w:val="%1)"/>
      <w:lvlJc w:val="left"/>
      <w:rPr>
        <w:i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35D32F11"/>
    <w:multiLevelType w:val="multilevel"/>
    <w:tmpl w:val="9752B022"/>
    <w:styleLink w:val="WWNum1"/>
    <w:lvl w:ilvl="0">
      <w:numFmt w:val="bullet"/>
      <w:lvlText w:val="-"/>
      <w:lvlJc w:val="left"/>
      <w:rPr>
        <w:rFonts w:ascii="Sylfaen" w:hAnsi="Sylfaen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">
    <w:nsid w:val="56F77A52"/>
    <w:multiLevelType w:val="multilevel"/>
    <w:tmpl w:val="EEAE312E"/>
    <w:styleLink w:val="WWNum2"/>
    <w:lvl w:ilvl="0">
      <w:start w:val="1"/>
      <w:numFmt w:val="decimal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63E06768"/>
    <w:multiLevelType w:val="multilevel"/>
    <w:tmpl w:val="8AE05288"/>
    <w:styleLink w:val="WWNum4"/>
    <w:lvl w:ilvl="0">
      <w:numFmt w:val="bullet"/>
      <w:lvlText w:val="-"/>
      <w:lvlJc w:val="left"/>
      <w:rPr>
        <w:rFonts w:ascii="Bell MT" w:eastAsia="Times New Roman" w:hAnsi="Bell MT" w:cs="Tahoma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371A7"/>
    <w:rsid w:val="00074C72"/>
    <w:rsid w:val="00662779"/>
    <w:rsid w:val="006B7664"/>
    <w:rsid w:val="0082049A"/>
    <w:rsid w:val="00854D8D"/>
    <w:rsid w:val="00B371A7"/>
    <w:rsid w:val="00B84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keepNext/>
      <w:spacing w:after="0"/>
      <w:ind w:left="67" w:hanging="67"/>
      <w:jc w:val="center"/>
      <w:outlineLvl w:val="0"/>
    </w:pPr>
    <w:rPr>
      <w:rFonts w:ascii="Century Schoolbook" w:hAnsi="Century Schoolbook"/>
      <w:b/>
      <w:bCs/>
      <w:sz w:val="23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20" w:line="240" w:lineRule="auto"/>
      <w:ind w:firstLine="567"/>
      <w:jc w:val="both"/>
    </w:pPr>
    <w:rPr>
      <w:rFonts w:eastAsia="Times New Roman" w:cs="Times New Roman"/>
      <w:szCs w:val="24"/>
      <w:lang w:eastAsia="it-IT"/>
    </w:rPr>
  </w:style>
  <w:style w:type="paragraph" w:customStyle="1" w:styleId="Heading">
    <w:name w:val="Heading"/>
    <w:basedOn w:val="Standard"/>
    <w:next w:val="Textbody"/>
    <w:pPr>
      <w:keepNext/>
      <w:spacing w:before="24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</w:style>
  <w:style w:type="paragraph" w:styleId="Elenco">
    <w:name w:val="List"/>
    <w:basedOn w:val="Textbody"/>
    <w:rPr>
      <w:rFonts w:cs="Arial Unicode MS"/>
    </w:rPr>
  </w:style>
  <w:style w:type="paragraph" w:styleId="Didascalia">
    <w:name w:val="caption"/>
    <w:basedOn w:val="Standard"/>
    <w:pPr>
      <w:suppressLineNumbers/>
      <w:spacing w:before="120"/>
    </w:pPr>
    <w:rPr>
      <w:rFonts w:cs="Arial Unicode M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Paragrafoelenco">
    <w:name w:val="List Paragraph"/>
    <w:basedOn w:val="Standard"/>
    <w:pPr>
      <w:spacing w:after="0"/>
      <w:ind w:left="708" w:firstLine="0"/>
      <w:jc w:val="left"/>
    </w:pPr>
    <w:rPr>
      <w:rFonts w:ascii="Times New Roman" w:hAnsi="Times New Roman"/>
      <w:sz w:val="24"/>
    </w:rPr>
  </w:style>
  <w:style w:type="paragraph" w:customStyle="1" w:styleId="Textbodyindent">
    <w:name w:val="Text body indent"/>
    <w:basedOn w:val="Standard"/>
    <w:pPr>
      <w:ind w:left="283" w:firstLine="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/>
    </w:pPr>
  </w:style>
  <w:style w:type="paragraph" w:styleId="Testofumetto">
    <w:name w:val="Balloon Text"/>
    <w:basedOn w:val="Standard"/>
    <w:pPr>
      <w:spacing w:after="0"/>
    </w:pPr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rPr>
      <w:rFonts w:ascii="Calibri" w:eastAsia="Times New Roman" w:hAnsi="Calibri" w:cs="Times New Roman"/>
      <w:szCs w:val="24"/>
      <w:lang w:eastAsia="it-IT"/>
    </w:rPr>
  </w:style>
  <w:style w:type="character" w:customStyle="1" w:styleId="Titolo1Carattere">
    <w:name w:val="Titolo 1 Carattere"/>
    <w:basedOn w:val="Carpredefinitoparagrafo"/>
    <w:rPr>
      <w:rFonts w:ascii="Century Schoolbook" w:eastAsia="Times New Roman" w:hAnsi="Century Schoolbook" w:cs="Times New Roman"/>
      <w:b/>
      <w:bCs/>
      <w:sz w:val="23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rPr>
      <w:rFonts w:ascii="Calibri" w:eastAsia="Times New Roman" w:hAnsi="Calibri" w:cs="Times New Roman"/>
      <w:szCs w:val="24"/>
      <w:lang w:eastAsia="it-IT"/>
    </w:rPr>
  </w:style>
  <w:style w:type="character" w:customStyle="1" w:styleId="IntestazioneCarattere">
    <w:name w:val="Intestazione Carattere"/>
    <w:basedOn w:val="Carpredefinitoparagrafo"/>
    <w:rPr>
      <w:rFonts w:ascii="Calibri" w:eastAsia="Times New Roman" w:hAnsi="Calibri" w:cs="Times New Roman"/>
      <w:szCs w:val="24"/>
      <w:lang w:eastAsia="it-IT"/>
    </w:rPr>
  </w:style>
  <w:style w:type="character" w:customStyle="1" w:styleId="PidipaginaCarattere">
    <w:name w:val="Piè di pagina Carattere"/>
    <w:basedOn w:val="Carpredefinitoparagrafo"/>
    <w:rPr>
      <w:rFonts w:ascii="Calibri" w:eastAsia="Times New Roman" w:hAnsi="Calibri" w:cs="Times New Roman"/>
      <w:szCs w:val="24"/>
      <w:lang w:eastAsia="it-IT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StrongEmphasis">
    <w:name w:val="Strong Emphasis"/>
    <w:rPr>
      <w:b/>
      <w:bCs/>
      <w:i w:val="0"/>
      <w:iCs w:val="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i/>
    </w:rPr>
  </w:style>
  <w:style w:type="character" w:customStyle="1" w:styleId="ListLabel4">
    <w:name w:val="ListLabel 4"/>
    <w:rPr>
      <w:rFonts w:eastAsia="Times New Roman" w:cs="Tahoma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F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Standard"/>
    <w:next w:val="Textbody"/>
    <w:pPr>
      <w:keepNext/>
      <w:spacing w:after="0"/>
      <w:ind w:left="67" w:hanging="67"/>
      <w:jc w:val="center"/>
      <w:outlineLvl w:val="0"/>
    </w:pPr>
    <w:rPr>
      <w:rFonts w:ascii="Century Schoolbook" w:hAnsi="Century Schoolbook"/>
      <w:b/>
      <w:bCs/>
      <w:sz w:val="23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120" w:line="240" w:lineRule="auto"/>
      <w:ind w:firstLine="567"/>
      <w:jc w:val="both"/>
    </w:pPr>
    <w:rPr>
      <w:rFonts w:eastAsia="Times New Roman" w:cs="Times New Roman"/>
      <w:szCs w:val="24"/>
      <w:lang w:eastAsia="it-IT"/>
    </w:rPr>
  </w:style>
  <w:style w:type="paragraph" w:customStyle="1" w:styleId="Heading">
    <w:name w:val="Heading"/>
    <w:basedOn w:val="Standard"/>
    <w:next w:val="Textbody"/>
    <w:pPr>
      <w:keepNext/>
      <w:spacing w:before="240"/>
    </w:pPr>
    <w:rPr>
      <w:rFonts w:ascii="Arial" w:eastAsia="Microsoft YaHei" w:hAnsi="Arial" w:cs="Arial Unicode MS"/>
      <w:sz w:val="28"/>
      <w:szCs w:val="28"/>
    </w:rPr>
  </w:style>
  <w:style w:type="paragraph" w:customStyle="1" w:styleId="Textbody">
    <w:name w:val="Text body"/>
    <w:basedOn w:val="Standard"/>
  </w:style>
  <w:style w:type="paragraph" w:styleId="Elenco">
    <w:name w:val="List"/>
    <w:basedOn w:val="Textbody"/>
    <w:rPr>
      <w:rFonts w:cs="Arial Unicode MS"/>
    </w:rPr>
  </w:style>
  <w:style w:type="paragraph" w:styleId="Didascalia">
    <w:name w:val="caption"/>
    <w:basedOn w:val="Standard"/>
    <w:pPr>
      <w:suppressLineNumbers/>
      <w:spacing w:before="120"/>
    </w:pPr>
    <w:rPr>
      <w:rFonts w:cs="Arial Unicode MS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cs="Arial Unicode MS"/>
    </w:rPr>
  </w:style>
  <w:style w:type="paragraph" w:styleId="Paragrafoelenco">
    <w:name w:val="List Paragraph"/>
    <w:basedOn w:val="Standard"/>
    <w:pPr>
      <w:spacing w:after="0"/>
      <w:ind w:left="708" w:firstLine="0"/>
      <w:jc w:val="left"/>
    </w:pPr>
    <w:rPr>
      <w:rFonts w:ascii="Times New Roman" w:hAnsi="Times New Roman"/>
      <w:sz w:val="24"/>
    </w:rPr>
  </w:style>
  <w:style w:type="paragraph" w:customStyle="1" w:styleId="Textbodyindent">
    <w:name w:val="Text body indent"/>
    <w:basedOn w:val="Standard"/>
    <w:pPr>
      <w:ind w:left="283" w:firstLine="0"/>
    </w:pPr>
  </w:style>
  <w:style w:type="paragraph" w:styleId="Intestazione">
    <w:name w:val="header"/>
    <w:basedOn w:val="Standard"/>
    <w:pPr>
      <w:suppressLineNumbers/>
      <w:tabs>
        <w:tab w:val="center" w:pos="4819"/>
        <w:tab w:val="right" w:pos="9638"/>
      </w:tabs>
      <w:spacing w:after="0"/>
    </w:pPr>
  </w:style>
  <w:style w:type="paragraph" w:styleId="Pidipagina">
    <w:name w:val="footer"/>
    <w:basedOn w:val="Standard"/>
    <w:pPr>
      <w:suppressLineNumbers/>
      <w:tabs>
        <w:tab w:val="center" w:pos="4819"/>
        <w:tab w:val="right" w:pos="9638"/>
      </w:tabs>
      <w:spacing w:after="0"/>
    </w:pPr>
  </w:style>
  <w:style w:type="paragraph" w:styleId="Testofumetto">
    <w:name w:val="Balloon Text"/>
    <w:basedOn w:val="Standard"/>
    <w:pPr>
      <w:spacing w:after="0"/>
    </w:pPr>
    <w:rPr>
      <w:rFonts w:ascii="Tahoma" w:hAnsi="Tahoma" w:cs="Tahoma"/>
      <w:sz w:val="16"/>
      <w:szCs w:val="16"/>
    </w:rPr>
  </w:style>
  <w:style w:type="character" w:customStyle="1" w:styleId="CorpotestoCarattere">
    <w:name w:val="Corpo testo Carattere"/>
    <w:basedOn w:val="Carpredefinitoparagrafo"/>
    <w:rPr>
      <w:rFonts w:ascii="Calibri" w:eastAsia="Times New Roman" w:hAnsi="Calibri" w:cs="Times New Roman"/>
      <w:szCs w:val="24"/>
      <w:lang w:eastAsia="it-IT"/>
    </w:rPr>
  </w:style>
  <w:style w:type="character" w:customStyle="1" w:styleId="Titolo1Carattere">
    <w:name w:val="Titolo 1 Carattere"/>
    <w:basedOn w:val="Carpredefinitoparagrafo"/>
    <w:rPr>
      <w:rFonts w:ascii="Century Schoolbook" w:eastAsia="Times New Roman" w:hAnsi="Century Schoolbook" w:cs="Times New Roman"/>
      <w:b/>
      <w:bCs/>
      <w:sz w:val="23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rPr>
      <w:rFonts w:ascii="Calibri" w:eastAsia="Times New Roman" w:hAnsi="Calibri" w:cs="Times New Roman"/>
      <w:szCs w:val="24"/>
      <w:lang w:eastAsia="it-IT"/>
    </w:rPr>
  </w:style>
  <w:style w:type="character" w:customStyle="1" w:styleId="IntestazioneCarattere">
    <w:name w:val="Intestazione Carattere"/>
    <w:basedOn w:val="Carpredefinitoparagrafo"/>
    <w:rPr>
      <w:rFonts w:ascii="Calibri" w:eastAsia="Times New Roman" w:hAnsi="Calibri" w:cs="Times New Roman"/>
      <w:szCs w:val="24"/>
      <w:lang w:eastAsia="it-IT"/>
    </w:rPr>
  </w:style>
  <w:style w:type="character" w:customStyle="1" w:styleId="PidipaginaCarattere">
    <w:name w:val="Piè di pagina Carattere"/>
    <w:basedOn w:val="Carpredefinitoparagrafo"/>
    <w:rPr>
      <w:rFonts w:ascii="Calibri" w:eastAsia="Times New Roman" w:hAnsi="Calibri" w:cs="Times New Roman"/>
      <w:szCs w:val="24"/>
      <w:lang w:eastAsia="it-IT"/>
    </w:rPr>
  </w:style>
  <w:style w:type="character" w:customStyle="1" w:styleId="TestofumettoCarattere">
    <w:name w:val="Testo fumetto Carattere"/>
    <w:basedOn w:val="Carpredefinitoparagrafo"/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StrongEmphasis">
    <w:name w:val="Strong Emphasis"/>
    <w:rPr>
      <w:b/>
      <w:bCs/>
      <w:i w:val="0"/>
      <w:iCs w:val="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i/>
    </w:rPr>
  </w:style>
  <w:style w:type="character" w:customStyle="1" w:styleId="ListLabel4">
    <w:name w:val="ListLabel 4"/>
    <w:rPr>
      <w:rFonts w:eastAsia="Times New Roman" w:cs="Tahoma"/>
    </w:rPr>
  </w:style>
  <w:style w:type="numbering" w:customStyle="1" w:styleId="WWNum1">
    <w:name w:val="WWNum1"/>
    <w:basedOn w:val="Nessunelenco"/>
    <w:pPr>
      <w:numPr>
        <w:numId w:val="1"/>
      </w:numPr>
    </w:pPr>
  </w:style>
  <w:style w:type="numbering" w:customStyle="1" w:styleId="WWNum2">
    <w:name w:val="WWNum2"/>
    <w:basedOn w:val="Nessunelenco"/>
    <w:pPr>
      <w:numPr>
        <w:numId w:val="2"/>
      </w:numPr>
    </w:pPr>
  </w:style>
  <w:style w:type="numbering" w:customStyle="1" w:styleId="WWNum3">
    <w:name w:val="WWNum3"/>
    <w:basedOn w:val="Nessunelenco"/>
    <w:pPr>
      <w:numPr>
        <w:numId w:val="3"/>
      </w:numPr>
    </w:pPr>
  </w:style>
  <w:style w:type="numbering" w:customStyle="1" w:styleId="WWNum4">
    <w:name w:val="WWNum4"/>
    <w:basedOn w:val="Nessunelenco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mancinis</dc:creator>
  <cp:lastModifiedBy>Utente Windows</cp:lastModifiedBy>
  <cp:revision>4</cp:revision>
  <cp:lastPrinted>2018-11-14T15:42:00Z</cp:lastPrinted>
  <dcterms:created xsi:type="dcterms:W3CDTF">2018-11-15T14:57:00Z</dcterms:created>
  <dcterms:modified xsi:type="dcterms:W3CDTF">2018-11-15T15:05:00Z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