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7796" w:rsidRDefault="00A47796">
      <w:pPr>
        <w:pStyle w:val="Standard"/>
        <w:ind w:left="851" w:right="969"/>
        <w:jc w:val="center"/>
        <w:rPr>
          <w:rFonts w:ascii="Calibri" w:hAnsi="Calibri"/>
          <w:b/>
          <w:bCs/>
          <w:sz w:val="22"/>
          <w:szCs w:val="22"/>
        </w:rPr>
      </w:pPr>
    </w:p>
    <w:p w:rsidR="00A47796" w:rsidRDefault="00A47796">
      <w:pPr>
        <w:pStyle w:val="Standard"/>
        <w:ind w:left="851" w:right="969"/>
        <w:jc w:val="center"/>
        <w:rPr>
          <w:rFonts w:ascii="Calibri" w:hAnsi="Calibri"/>
          <w:b/>
          <w:bCs/>
          <w:sz w:val="22"/>
          <w:szCs w:val="22"/>
        </w:rPr>
      </w:pPr>
    </w:p>
    <w:p w:rsidR="00A47796" w:rsidRDefault="00A47796">
      <w:pPr>
        <w:pStyle w:val="Standard"/>
        <w:ind w:left="851" w:right="969"/>
        <w:jc w:val="center"/>
        <w:rPr>
          <w:rFonts w:ascii="Calibri" w:hAnsi="Calibri"/>
          <w:b/>
          <w:bCs/>
          <w:sz w:val="22"/>
          <w:szCs w:val="22"/>
        </w:rPr>
      </w:pPr>
    </w:p>
    <w:p w:rsidR="00A47796" w:rsidRDefault="0057338B">
      <w:pPr>
        <w:pStyle w:val="Standard"/>
        <w:ind w:right="-143" w:firstLine="567"/>
        <w:jc w:val="center"/>
      </w:pPr>
      <w:r>
        <w:rPr>
          <w:rFonts w:ascii="Calibri" w:hAnsi="Calibri"/>
          <w:b/>
          <w:bCs/>
          <w:szCs w:val="22"/>
        </w:rPr>
        <w:t>Comparto Funzioni centrali - personale non dirigente</w:t>
      </w:r>
    </w:p>
    <w:p w:rsidR="00A47796" w:rsidRDefault="0057338B">
      <w:pPr>
        <w:pStyle w:val="Standard"/>
        <w:ind w:right="-143" w:firstLine="567"/>
        <w:jc w:val="center"/>
      </w:pPr>
      <w:r>
        <w:rPr>
          <w:rFonts w:ascii="Calibri" w:hAnsi="Calibri" w:cs="Tahoma"/>
          <w:bCs/>
          <w:szCs w:val="22"/>
        </w:rPr>
        <w:t xml:space="preserve">Ipotesi di C.C.I di sede </w:t>
      </w:r>
      <w:r w:rsidR="00106E2B" w:rsidRPr="004F41D4">
        <w:rPr>
          <w:rFonts w:ascii="Calibri" w:hAnsi="Calibri" w:cs="Tahoma"/>
          <w:bCs/>
          <w:szCs w:val="22"/>
        </w:rPr>
        <w:t>15 novembre 2018</w:t>
      </w:r>
      <w:r>
        <w:rPr>
          <w:rFonts w:ascii="Calibri" w:hAnsi="Calibri" w:cs="Tahoma"/>
          <w:bCs/>
          <w:szCs w:val="22"/>
        </w:rPr>
        <w:t xml:space="preserve"> – n° 1/2018</w:t>
      </w:r>
    </w:p>
    <w:p w:rsidR="00A47796" w:rsidRDefault="0057338B">
      <w:pPr>
        <w:pStyle w:val="Textbodyindent"/>
        <w:ind w:firstLine="0"/>
        <w:jc w:val="center"/>
        <w:rPr>
          <w:rFonts w:ascii="Calibri" w:hAnsi="Calibri" w:cs="Tahoma"/>
          <w:i/>
          <w:sz w:val="22"/>
          <w:szCs w:val="22"/>
        </w:rPr>
      </w:pPr>
      <w:r>
        <w:rPr>
          <w:rFonts w:ascii="Calibri" w:hAnsi="Calibri" w:cs="Tahoma"/>
          <w:b/>
          <w:bCs/>
          <w:i/>
          <w:sz w:val="22"/>
          <w:szCs w:val="22"/>
        </w:rPr>
        <w:t>“Criteri e modalità di utilizzazione del Fondo Unico Amministrazione destinato alla retribuzione di produttività del personale non dirigente in servizio nel Dipartimento per la formazione superiore e per la ricerca.  - Anno 2016”</w:t>
      </w:r>
    </w:p>
    <w:p w:rsidR="00A47796" w:rsidRDefault="00A47796">
      <w:pPr>
        <w:pStyle w:val="Standard"/>
        <w:ind w:left="851" w:right="969"/>
        <w:rPr>
          <w:rFonts w:ascii="Calibri" w:hAnsi="Calibri" w:cs="Tahoma"/>
          <w:i/>
          <w:sz w:val="22"/>
          <w:szCs w:val="22"/>
        </w:rPr>
      </w:pPr>
    </w:p>
    <w:p w:rsidR="00A47796" w:rsidRDefault="00A47796">
      <w:pPr>
        <w:pStyle w:val="Standard"/>
        <w:ind w:left="851" w:right="969"/>
        <w:rPr>
          <w:rFonts w:ascii="Calibri" w:hAnsi="Calibri" w:cs="Tahoma"/>
          <w:i/>
          <w:sz w:val="22"/>
          <w:szCs w:val="22"/>
        </w:rPr>
      </w:pPr>
    </w:p>
    <w:p w:rsidR="00A47796" w:rsidRDefault="00A47796">
      <w:pPr>
        <w:pStyle w:val="Standard"/>
        <w:ind w:left="851" w:right="969"/>
        <w:jc w:val="center"/>
        <w:rPr>
          <w:rFonts w:ascii="Calibri" w:hAnsi="Calibri" w:cs="Tahoma"/>
          <w:i/>
          <w:sz w:val="22"/>
          <w:szCs w:val="22"/>
        </w:rPr>
      </w:pPr>
    </w:p>
    <w:p w:rsidR="00A47796" w:rsidRDefault="0057338B">
      <w:pPr>
        <w:pStyle w:val="Standard"/>
        <w:ind w:left="851" w:right="969"/>
        <w:jc w:val="center"/>
      </w:pPr>
      <w:r>
        <w:rPr>
          <w:rFonts w:ascii="Calibri" w:hAnsi="Calibri" w:cs="Tahoma"/>
          <w:sz w:val="22"/>
          <w:szCs w:val="22"/>
        </w:rPr>
        <w:t>Relazione tecnico-finanziaria</w:t>
      </w:r>
    </w:p>
    <w:p w:rsidR="00A47796" w:rsidRDefault="0057338B">
      <w:pPr>
        <w:pStyle w:val="Standard"/>
        <w:ind w:left="851" w:right="969" w:hanging="142"/>
        <w:jc w:val="center"/>
      </w:pPr>
      <w:r>
        <w:rPr>
          <w:rFonts w:ascii="Calibri" w:hAnsi="Calibri" w:cs="Tahoma"/>
          <w:sz w:val="22"/>
          <w:szCs w:val="22"/>
        </w:rPr>
        <w:t>__________________________________________________</w:t>
      </w:r>
    </w:p>
    <w:p w:rsidR="00A47796" w:rsidRDefault="00A47796">
      <w:pPr>
        <w:pStyle w:val="Standard"/>
        <w:ind w:left="851" w:right="969"/>
        <w:jc w:val="center"/>
        <w:rPr>
          <w:rFonts w:ascii="Calibri" w:hAnsi="Calibri"/>
          <w:b/>
          <w:bCs/>
          <w:sz w:val="22"/>
          <w:szCs w:val="22"/>
        </w:rPr>
      </w:pPr>
    </w:p>
    <w:p w:rsidR="00A47796" w:rsidRDefault="00A47796">
      <w:pPr>
        <w:pStyle w:val="Standard"/>
        <w:ind w:left="851" w:right="969"/>
        <w:jc w:val="center"/>
        <w:rPr>
          <w:rFonts w:ascii="Calibri" w:hAnsi="Calibri"/>
          <w:b/>
          <w:bCs/>
          <w:sz w:val="22"/>
          <w:szCs w:val="22"/>
        </w:rPr>
      </w:pPr>
    </w:p>
    <w:p w:rsidR="00A47796" w:rsidRDefault="00A47796">
      <w:pPr>
        <w:pStyle w:val="Standard"/>
        <w:ind w:left="851" w:right="969"/>
        <w:jc w:val="center"/>
        <w:rPr>
          <w:rFonts w:ascii="Calibri" w:hAnsi="Calibri"/>
          <w:b/>
          <w:bCs/>
          <w:sz w:val="22"/>
          <w:szCs w:val="22"/>
        </w:rPr>
      </w:pPr>
    </w:p>
    <w:p w:rsidR="00A47796" w:rsidRDefault="00A47796">
      <w:pPr>
        <w:pStyle w:val="Standard"/>
        <w:ind w:left="851" w:right="969" w:hanging="1620"/>
        <w:jc w:val="both"/>
        <w:rPr>
          <w:rFonts w:ascii="Calibri" w:hAnsi="Calibri" w:cs="Tahoma"/>
          <w:sz w:val="22"/>
          <w:szCs w:val="22"/>
        </w:rPr>
      </w:pPr>
    </w:p>
    <w:p w:rsidR="00A47796" w:rsidRDefault="0057338B">
      <w:pPr>
        <w:pStyle w:val="Standard"/>
        <w:ind w:left="851" w:right="969"/>
        <w:jc w:val="both"/>
      </w:pPr>
      <w:r>
        <w:rPr>
          <w:rFonts w:ascii="Calibri" w:hAnsi="Calibri"/>
          <w:sz w:val="22"/>
          <w:szCs w:val="22"/>
        </w:rPr>
        <w:t>Il d.lgs. 30 giugno 2011, n. 123, all’art. 5, c.2, lettera e), prevede che ogni accordo pattizio, anche di sede, venga inviato all’Ufficio centrale di bilancio per il controllo di regolarità amministrativo-contabile.</w:t>
      </w:r>
    </w:p>
    <w:p w:rsidR="00A47796" w:rsidRDefault="0057338B">
      <w:pPr>
        <w:pStyle w:val="Standard"/>
        <w:ind w:left="851" w:right="969"/>
        <w:jc w:val="both"/>
      </w:pPr>
      <w:r>
        <w:rPr>
          <w:rFonts w:ascii="Calibri" w:hAnsi="Calibri"/>
          <w:sz w:val="22"/>
          <w:szCs w:val="22"/>
        </w:rPr>
        <w:t>Il Dipartimento della Ragioneria Generale dello Stato, ai sensi dell’articolo 40, comma 3-sexies, del decreto legislativo n. 165/2001, d’intesa con il Dipartimento della Funzione Pubblica, con la circolare n° 25 del 19 luglio 2012 ha predisposto lo “</w:t>
      </w:r>
      <w:r>
        <w:rPr>
          <w:rFonts w:ascii="Calibri" w:hAnsi="Calibri"/>
          <w:i/>
          <w:sz w:val="22"/>
          <w:szCs w:val="22"/>
        </w:rPr>
        <w:t>Schema standard di relazione tecnico-finanziaria</w:t>
      </w:r>
      <w:r>
        <w:rPr>
          <w:rFonts w:ascii="Calibri" w:hAnsi="Calibri"/>
          <w:sz w:val="22"/>
          <w:szCs w:val="22"/>
        </w:rPr>
        <w:t>”.</w:t>
      </w:r>
    </w:p>
    <w:p w:rsidR="00A47796" w:rsidRDefault="00A47796">
      <w:pPr>
        <w:pStyle w:val="Standard"/>
        <w:ind w:left="851" w:right="969"/>
        <w:jc w:val="both"/>
        <w:rPr>
          <w:rFonts w:ascii="Calibri" w:hAnsi="Calibri"/>
          <w:sz w:val="22"/>
          <w:szCs w:val="22"/>
        </w:rPr>
      </w:pPr>
    </w:p>
    <w:p w:rsidR="00A47796" w:rsidRDefault="0057338B">
      <w:pPr>
        <w:pStyle w:val="Standard"/>
        <w:ind w:left="851" w:right="969"/>
        <w:jc w:val="both"/>
      </w:pPr>
      <w:r>
        <w:rPr>
          <w:rFonts w:ascii="Calibri" w:hAnsi="Calibri"/>
          <w:sz w:val="22"/>
          <w:szCs w:val="22"/>
        </w:rPr>
        <w:t>La presente relazione tecnico-finanziaria è redatta sulla base di tale schema obbligatorio.</w:t>
      </w:r>
    </w:p>
    <w:p w:rsidR="00A47796" w:rsidRDefault="00A47796">
      <w:pPr>
        <w:pStyle w:val="Standard"/>
        <w:ind w:left="851" w:right="969"/>
        <w:jc w:val="both"/>
        <w:rPr>
          <w:rFonts w:ascii="Calibri" w:hAnsi="Calibri"/>
          <w:sz w:val="22"/>
          <w:szCs w:val="22"/>
        </w:rPr>
      </w:pPr>
    </w:p>
    <w:p w:rsidR="00A47796" w:rsidRDefault="00A47796">
      <w:pPr>
        <w:pStyle w:val="Standard"/>
        <w:ind w:left="851" w:right="969"/>
        <w:jc w:val="both"/>
        <w:rPr>
          <w:rFonts w:ascii="Calibri" w:hAnsi="Calibri"/>
          <w:b/>
          <w:sz w:val="22"/>
          <w:szCs w:val="22"/>
        </w:rPr>
      </w:pPr>
    </w:p>
    <w:p w:rsidR="00A47796" w:rsidRDefault="0057338B">
      <w:pPr>
        <w:pStyle w:val="Standard"/>
        <w:ind w:left="851" w:right="969"/>
        <w:jc w:val="both"/>
      </w:pPr>
      <w:r>
        <w:rPr>
          <w:rFonts w:ascii="Calibri" w:hAnsi="Calibri"/>
          <w:b/>
          <w:sz w:val="22"/>
          <w:szCs w:val="22"/>
        </w:rPr>
        <w:t>Modulo I – La costituzione della risorsa finanziaria per la contrattazione integrativa di sede.</w:t>
      </w:r>
    </w:p>
    <w:p w:rsidR="00A47796" w:rsidRDefault="00A47796">
      <w:pPr>
        <w:pStyle w:val="Standard"/>
        <w:ind w:left="851" w:right="969"/>
        <w:rPr>
          <w:rFonts w:ascii="Calibri" w:hAnsi="Calibri"/>
          <w:sz w:val="22"/>
          <w:szCs w:val="22"/>
        </w:rPr>
      </w:pPr>
    </w:p>
    <w:p w:rsidR="00A47796" w:rsidRDefault="0057338B">
      <w:pPr>
        <w:pStyle w:val="Standard"/>
        <w:tabs>
          <w:tab w:val="right" w:pos="-1449"/>
          <w:tab w:val="left" w:pos="1031"/>
          <w:tab w:val="right" w:pos="10951"/>
        </w:tabs>
        <w:ind w:left="851" w:right="969"/>
        <w:jc w:val="both"/>
      </w:pPr>
      <w:r>
        <w:rPr>
          <w:rFonts w:ascii="Calibri" w:hAnsi="Calibri"/>
          <w:sz w:val="22"/>
          <w:szCs w:val="22"/>
        </w:rPr>
        <w:t>La costituzione della risorsa disponibile per la contrattazione di sede discende direttamente dal C.C.N.I. del 7 settembre 2016, n° 1/2018.</w:t>
      </w:r>
    </w:p>
    <w:p w:rsidR="00A47796" w:rsidRDefault="0057338B">
      <w:pPr>
        <w:pStyle w:val="Standard"/>
        <w:tabs>
          <w:tab w:val="right" w:pos="-1449"/>
          <w:tab w:val="left" w:pos="1031"/>
          <w:tab w:val="right" w:pos="10951"/>
        </w:tabs>
        <w:ind w:left="851" w:right="969"/>
        <w:jc w:val="both"/>
      </w:pPr>
      <w:r>
        <w:rPr>
          <w:rFonts w:ascii="Calibri" w:hAnsi="Calibri"/>
          <w:sz w:val="22"/>
          <w:szCs w:val="22"/>
        </w:rPr>
        <w:t>In particolare l’art. 5 destina la specifica risorsa alla contrattazione di sede del Dipartimento per la formazione superiore e per la ricerca.</w:t>
      </w:r>
    </w:p>
    <w:p w:rsidR="00A47796" w:rsidRDefault="0057338B">
      <w:pPr>
        <w:pStyle w:val="Standard"/>
        <w:tabs>
          <w:tab w:val="right" w:pos="-1449"/>
          <w:tab w:val="left" w:pos="1031"/>
          <w:tab w:val="right" w:pos="10951"/>
        </w:tabs>
        <w:ind w:left="851" w:right="969"/>
        <w:jc w:val="both"/>
      </w:pPr>
      <w:r>
        <w:rPr>
          <w:rFonts w:ascii="Calibri" w:hAnsi="Calibri"/>
          <w:sz w:val="22"/>
          <w:szCs w:val="22"/>
        </w:rPr>
        <w:t>Tale C.C.N.I. è stato trasmesso alla Presidenza del Consiglio dei Ministri – Funzione Pubblica che con nota n. DFP/ n. 54654 del giorno 6 agosto 2018, ha comunicato la possibilità di dare ulteriore corso all’accordo.</w:t>
      </w:r>
    </w:p>
    <w:p w:rsidR="00A47796" w:rsidRDefault="00A47796">
      <w:pPr>
        <w:pStyle w:val="Titolo3"/>
        <w:tabs>
          <w:tab w:val="left" w:pos="1702"/>
        </w:tabs>
        <w:spacing w:after="240"/>
        <w:ind w:left="851" w:right="969" w:hanging="357"/>
        <w:jc w:val="both"/>
        <w:rPr>
          <w:rFonts w:ascii="Calibri" w:hAnsi="Calibri"/>
          <w:sz w:val="22"/>
          <w:szCs w:val="22"/>
        </w:rPr>
      </w:pPr>
    </w:p>
    <w:p w:rsidR="00A47796" w:rsidRDefault="00A47796">
      <w:pPr>
        <w:pStyle w:val="Standard"/>
      </w:pPr>
    </w:p>
    <w:p w:rsidR="00A47796" w:rsidRDefault="0057338B">
      <w:pPr>
        <w:pStyle w:val="Titolo3"/>
        <w:tabs>
          <w:tab w:val="left" w:pos="1702"/>
        </w:tabs>
        <w:spacing w:after="240"/>
        <w:ind w:left="851" w:right="969"/>
        <w:jc w:val="both"/>
      </w:pPr>
      <w:r>
        <w:rPr>
          <w:rFonts w:ascii="Calibri" w:hAnsi="Calibri"/>
          <w:b/>
          <w:sz w:val="22"/>
          <w:szCs w:val="22"/>
        </w:rPr>
        <w:t>Sintesi della costituzione della risorsa sottoposta a certificazione</w:t>
      </w:r>
    </w:p>
    <w:p w:rsidR="00A47796" w:rsidRDefault="0057338B">
      <w:pPr>
        <w:pStyle w:val="Standard"/>
        <w:ind w:left="851" w:right="969"/>
        <w:jc w:val="both"/>
      </w:pPr>
      <w:r>
        <w:rPr>
          <w:rFonts w:ascii="Calibri" w:hAnsi="Calibri"/>
          <w:sz w:val="22"/>
          <w:szCs w:val="22"/>
        </w:rPr>
        <w:t xml:space="preserve">La risorsa finanziaria complessiva </w:t>
      </w:r>
      <w:r>
        <w:rPr>
          <w:rFonts w:ascii="Calibri" w:hAnsi="Calibri"/>
          <w:i/>
          <w:sz w:val="22"/>
          <w:szCs w:val="22"/>
        </w:rPr>
        <w:t>(</w:t>
      </w:r>
      <w:proofErr w:type="spellStart"/>
      <w:r>
        <w:rPr>
          <w:rFonts w:ascii="Calibri" w:hAnsi="Calibri"/>
          <w:i/>
          <w:sz w:val="22"/>
          <w:szCs w:val="22"/>
        </w:rPr>
        <w:t>Rf</w:t>
      </w:r>
      <w:proofErr w:type="spellEnd"/>
      <w:r>
        <w:rPr>
          <w:rFonts w:ascii="Calibri" w:hAnsi="Calibri"/>
          <w:i/>
          <w:sz w:val="22"/>
          <w:szCs w:val="22"/>
        </w:rPr>
        <w:t xml:space="preserve">) </w:t>
      </w:r>
      <w:r>
        <w:rPr>
          <w:rFonts w:ascii="Calibri" w:hAnsi="Calibri"/>
          <w:sz w:val="22"/>
          <w:szCs w:val="22"/>
        </w:rPr>
        <w:t xml:space="preserve">dell’allegato C del CCNI n. 1/2018, (colonna W) pari € </w:t>
      </w:r>
      <w:r>
        <w:rPr>
          <w:rFonts w:ascii="Calibri" w:hAnsi="Calibri"/>
          <w:b/>
          <w:bCs/>
          <w:sz w:val="22"/>
          <w:szCs w:val="22"/>
        </w:rPr>
        <w:t>190</w:t>
      </w:r>
      <w:r>
        <w:rPr>
          <w:rFonts w:ascii="Calibri" w:hAnsi="Calibri"/>
          <w:b/>
          <w:sz w:val="22"/>
          <w:szCs w:val="22"/>
        </w:rPr>
        <w:t>.641,00</w:t>
      </w:r>
      <w:r>
        <w:rPr>
          <w:rFonts w:ascii="Calibri" w:hAnsi="Calibri"/>
          <w:spacing w:val="20"/>
          <w:sz w:val="22"/>
          <w:szCs w:val="22"/>
        </w:rPr>
        <w:t xml:space="preserve"> assegnata al Dipartimento per la formazione superiore e per la ricerca sulla base di 214 unità è stata  rideterminata </w:t>
      </w:r>
      <w:r>
        <w:rPr>
          <w:rFonts w:ascii="Calibri" w:hAnsi="Calibri"/>
          <w:sz w:val="22"/>
          <w:szCs w:val="22"/>
        </w:rPr>
        <w:t xml:space="preserve">sulla base di n. 206 unità accertate </w:t>
      </w:r>
      <w:r>
        <w:rPr>
          <w:rFonts w:ascii="Calibri" w:hAnsi="Calibri"/>
          <w:spacing w:val="20"/>
          <w:sz w:val="22"/>
          <w:szCs w:val="22"/>
        </w:rPr>
        <w:t>in:</w:t>
      </w:r>
    </w:p>
    <w:p w:rsidR="00A47796" w:rsidRPr="00380FBE" w:rsidRDefault="0057338B">
      <w:pPr>
        <w:pStyle w:val="Titolo3"/>
        <w:tabs>
          <w:tab w:val="left" w:pos="1702"/>
        </w:tabs>
        <w:spacing w:after="240"/>
        <w:ind w:left="851" w:right="969" w:hanging="357"/>
        <w:jc w:val="both"/>
      </w:pPr>
      <w:r>
        <w:rPr>
          <w:rFonts w:ascii="Calibri" w:hAnsi="Calibri"/>
          <w:b/>
          <w:bCs/>
          <w:sz w:val="22"/>
          <w:szCs w:val="22"/>
        </w:rPr>
        <w:tab/>
      </w:r>
      <w:r w:rsidRPr="00380FBE">
        <w:rPr>
          <w:rFonts w:ascii="Calibri" w:hAnsi="Calibri"/>
          <w:b/>
          <w:bCs/>
          <w:sz w:val="22"/>
          <w:szCs w:val="22"/>
        </w:rPr>
        <w:t xml:space="preserve">Totale risorse (lordo Stato): </w:t>
      </w:r>
      <w:r w:rsidR="00380FBE">
        <w:rPr>
          <w:rFonts w:ascii="Calibri" w:hAnsi="Calibri"/>
          <w:sz w:val="22"/>
          <w:szCs w:val="22"/>
        </w:rPr>
        <w:t xml:space="preserve">€ </w:t>
      </w:r>
      <w:r w:rsidR="00A65F83">
        <w:rPr>
          <w:rFonts w:ascii="Calibri" w:hAnsi="Calibri"/>
          <w:b/>
          <w:bCs/>
          <w:sz w:val="22"/>
          <w:szCs w:val="22"/>
        </w:rPr>
        <w:t>183.514,24</w:t>
      </w:r>
      <w:r w:rsidR="00380FBE">
        <w:rPr>
          <w:rFonts w:ascii="Calibri" w:hAnsi="Calibri"/>
          <w:b/>
          <w:bCs/>
          <w:sz w:val="22"/>
          <w:szCs w:val="22"/>
        </w:rPr>
        <w:t>.</w:t>
      </w:r>
      <w:bookmarkStart w:id="0" w:name="_GoBack"/>
      <w:bookmarkEnd w:id="0"/>
    </w:p>
    <w:p w:rsidR="00A47796" w:rsidRDefault="00A47796">
      <w:pPr>
        <w:pStyle w:val="Titolo3"/>
        <w:tabs>
          <w:tab w:val="left" w:pos="1702"/>
        </w:tabs>
        <w:spacing w:after="240"/>
        <w:ind w:left="851" w:right="969"/>
        <w:jc w:val="both"/>
        <w:rPr>
          <w:rFonts w:ascii="Calibri" w:hAnsi="Calibri"/>
          <w:b/>
          <w:sz w:val="22"/>
          <w:szCs w:val="22"/>
        </w:rPr>
      </w:pPr>
    </w:p>
    <w:p w:rsidR="00A47796" w:rsidRDefault="0057338B">
      <w:pPr>
        <w:pStyle w:val="Titolo3"/>
        <w:tabs>
          <w:tab w:val="left" w:pos="1702"/>
        </w:tabs>
        <w:spacing w:after="240"/>
        <w:ind w:left="851" w:right="969"/>
        <w:jc w:val="both"/>
      </w:pPr>
      <w:r>
        <w:rPr>
          <w:rFonts w:ascii="Calibri" w:hAnsi="Calibri"/>
          <w:b/>
          <w:sz w:val="22"/>
          <w:szCs w:val="22"/>
        </w:rPr>
        <w:t>Destinazioni specificamente regolate dal Contratto Integrativo</w:t>
      </w:r>
    </w:p>
    <w:p w:rsidR="00A47796" w:rsidRDefault="0057338B" w:rsidP="00380FBE">
      <w:pPr>
        <w:pStyle w:val="Titoletto"/>
        <w:ind w:left="851" w:right="968"/>
      </w:pPr>
      <w:r>
        <w:rPr>
          <w:b w:val="0"/>
          <w:bCs w:val="0"/>
          <w:sz w:val="22"/>
          <w:szCs w:val="22"/>
        </w:rPr>
        <w:lastRenderedPageBreak/>
        <w:t>Il contratto regola le seguenti destinazioni:</w:t>
      </w:r>
    </w:p>
    <w:p w:rsidR="00A47796" w:rsidRPr="00380FBE" w:rsidRDefault="0057338B" w:rsidP="00380FBE">
      <w:pPr>
        <w:pStyle w:val="Titoletto"/>
        <w:numPr>
          <w:ilvl w:val="0"/>
          <w:numId w:val="15"/>
        </w:numPr>
        <w:tabs>
          <w:tab w:val="left" w:pos="-344"/>
          <w:tab w:val="left" w:pos="1636"/>
          <w:tab w:val="left" w:pos="7655"/>
          <w:tab w:val="right" w:pos="10774"/>
        </w:tabs>
        <w:ind w:left="1276" w:right="968"/>
      </w:pPr>
      <w:r w:rsidRPr="00380FBE">
        <w:rPr>
          <w:b w:val="0"/>
          <w:bCs w:val="0"/>
          <w:sz w:val="22"/>
          <w:szCs w:val="22"/>
        </w:rPr>
        <w:t>retribuz</w:t>
      </w:r>
      <w:r w:rsidR="00380FBE">
        <w:rPr>
          <w:b w:val="0"/>
          <w:bCs w:val="0"/>
          <w:sz w:val="22"/>
          <w:szCs w:val="22"/>
        </w:rPr>
        <w:t>ione di produttività collettiva</w:t>
      </w:r>
      <w:r w:rsidR="00380FBE">
        <w:rPr>
          <w:b w:val="0"/>
          <w:bCs w:val="0"/>
          <w:sz w:val="22"/>
          <w:szCs w:val="22"/>
        </w:rPr>
        <w:tab/>
      </w:r>
      <w:r w:rsidR="00380FBE">
        <w:rPr>
          <w:sz w:val="22"/>
          <w:szCs w:val="22"/>
        </w:rPr>
        <w:t>€      91.757,11</w:t>
      </w:r>
    </w:p>
    <w:p w:rsidR="00A47796" w:rsidRPr="00380FBE" w:rsidRDefault="0057338B" w:rsidP="00380FBE">
      <w:pPr>
        <w:pStyle w:val="Titoletto"/>
        <w:numPr>
          <w:ilvl w:val="0"/>
          <w:numId w:val="7"/>
        </w:numPr>
        <w:tabs>
          <w:tab w:val="left" w:pos="-344"/>
          <w:tab w:val="left" w:pos="1636"/>
          <w:tab w:val="left" w:pos="7655"/>
          <w:tab w:val="right" w:pos="10774"/>
        </w:tabs>
        <w:ind w:left="1276" w:right="968"/>
      </w:pPr>
      <w:r w:rsidRPr="00380FBE">
        <w:rPr>
          <w:b w:val="0"/>
          <w:bCs w:val="0"/>
          <w:sz w:val="22"/>
          <w:szCs w:val="22"/>
        </w:rPr>
        <w:t>retribuzi</w:t>
      </w:r>
      <w:r w:rsidR="00380FBE">
        <w:rPr>
          <w:b w:val="0"/>
          <w:bCs w:val="0"/>
          <w:sz w:val="22"/>
          <w:szCs w:val="22"/>
        </w:rPr>
        <w:t>one di produttività individuale</w:t>
      </w:r>
      <w:r w:rsidR="00380FBE">
        <w:rPr>
          <w:b w:val="0"/>
          <w:bCs w:val="0"/>
          <w:sz w:val="22"/>
          <w:szCs w:val="22"/>
        </w:rPr>
        <w:tab/>
      </w:r>
      <w:r w:rsidR="00380FBE">
        <w:rPr>
          <w:sz w:val="22"/>
          <w:szCs w:val="22"/>
        </w:rPr>
        <w:t>€      91.757,11</w:t>
      </w:r>
    </w:p>
    <w:p w:rsidR="00A47796" w:rsidRDefault="00A47796">
      <w:pPr>
        <w:pStyle w:val="Titolo3"/>
        <w:tabs>
          <w:tab w:val="left" w:pos="1702"/>
        </w:tabs>
        <w:spacing w:after="240"/>
        <w:ind w:left="851" w:right="969" w:hanging="1260"/>
        <w:jc w:val="both"/>
        <w:rPr>
          <w:rFonts w:ascii="Calibri" w:hAnsi="Calibri"/>
          <w:b/>
          <w:sz w:val="22"/>
          <w:szCs w:val="22"/>
        </w:rPr>
      </w:pPr>
    </w:p>
    <w:p w:rsidR="00A47796" w:rsidRDefault="00A47796">
      <w:pPr>
        <w:pStyle w:val="Standard"/>
      </w:pPr>
    </w:p>
    <w:p w:rsidR="00A47796" w:rsidRDefault="0057338B">
      <w:pPr>
        <w:pStyle w:val="Titolo3"/>
        <w:tabs>
          <w:tab w:val="left" w:pos="1702"/>
        </w:tabs>
        <w:spacing w:after="240"/>
        <w:ind w:left="851" w:right="969"/>
        <w:jc w:val="both"/>
      </w:pPr>
      <w:r>
        <w:rPr>
          <w:rFonts w:ascii="Calibri" w:hAnsi="Calibri"/>
          <w:b/>
          <w:sz w:val="22"/>
          <w:szCs w:val="22"/>
        </w:rPr>
        <w:t>Attestazione motivata, dal punto di vista tecnico-finanziario, del rispetto di vincoli di carattere generale</w:t>
      </w:r>
    </w:p>
    <w:p w:rsidR="00A47796" w:rsidRDefault="0057338B">
      <w:pPr>
        <w:pStyle w:val="Titoletto"/>
        <w:ind w:left="851" w:right="970" w:firstLine="425"/>
      </w:pPr>
      <w:r>
        <w:rPr>
          <w:b w:val="0"/>
          <w:bCs w:val="0"/>
          <w:sz w:val="22"/>
          <w:szCs w:val="22"/>
        </w:rPr>
        <w:t>Si attesta che, nell’ambito della definizione dei compensi per la retribuzione di produttività, è rispettato il principio di attribuzione selettiva.</w:t>
      </w:r>
    </w:p>
    <w:p w:rsidR="00A47796" w:rsidRDefault="0057338B">
      <w:pPr>
        <w:pStyle w:val="Titoletto"/>
        <w:spacing w:after="0"/>
        <w:ind w:left="851" w:right="970" w:firstLine="425"/>
      </w:pPr>
      <w:r>
        <w:rPr>
          <w:b w:val="0"/>
          <w:bCs w:val="0"/>
          <w:sz w:val="22"/>
          <w:szCs w:val="22"/>
        </w:rPr>
        <w:t>Infatti, con la possibilità di attribuire differenti coefficiente di valutazione dell’opera svolta, si determina la differenziazione retributiva.</w:t>
      </w:r>
    </w:p>
    <w:p w:rsidR="00A47796" w:rsidRDefault="00A47796">
      <w:pPr>
        <w:pStyle w:val="Titoletto"/>
        <w:tabs>
          <w:tab w:val="left" w:pos="1117"/>
          <w:tab w:val="right" w:pos="10482"/>
        </w:tabs>
        <w:spacing w:after="0"/>
        <w:ind w:left="851" w:right="969" w:hanging="266"/>
        <w:rPr>
          <w:b w:val="0"/>
          <w:bCs w:val="0"/>
          <w:sz w:val="22"/>
          <w:szCs w:val="22"/>
        </w:rPr>
      </w:pPr>
    </w:p>
    <w:p w:rsidR="00A47796" w:rsidRDefault="0057338B">
      <w:pPr>
        <w:pStyle w:val="Titolo3"/>
        <w:tabs>
          <w:tab w:val="left" w:pos="1702"/>
        </w:tabs>
        <w:spacing w:after="240"/>
        <w:ind w:left="851" w:right="969"/>
        <w:jc w:val="both"/>
      </w:pPr>
      <w:r>
        <w:rPr>
          <w:rFonts w:ascii="Calibri" w:hAnsi="Calibri"/>
          <w:b/>
          <w:sz w:val="22"/>
          <w:szCs w:val="22"/>
        </w:rPr>
        <w:t xml:space="preserve">Esposizione finalizzata alla verifica che gli strumenti della contabilità economico-finanziaria </w:t>
      </w:r>
      <w:r>
        <w:rPr>
          <w:rFonts w:ascii="Calibri" w:hAnsi="Calibri"/>
          <w:b/>
          <w:spacing w:val="-4"/>
          <w:sz w:val="22"/>
          <w:szCs w:val="22"/>
        </w:rPr>
        <w:t>dell’Amministrazione</w:t>
      </w:r>
      <w:r>
        <w:rPr>
          <w:rFonts w:ascii="Calibri" w:hAnsi="Calibri"/>
          <w:b/>
          <w:sz w:val="22"/>
          <w:szCs w:val="22"/>
        </w:rPr>
        <w:t xml:space="preserve"> presidiano correttamente i limiti di spesa della risorsa destinata alla contrattazione di sede nella fase programmatoria della gestione</w:t>
      </w:r>
    </w:p>
    <w:p w:rsidR="00A47796" w:rsidRDefault="0057338B">
      <w:pPr>
        <w:pStyle w:val="Titolo3"/>
        <w:tabs>
          <w:tab w:val="left" w:pos="1702"/>
        </w:tabs>
        <w:spacing w:after="240"/>
        <w:ind w:left="851" w:right="969" w:firstLine="426"/>
        <w:jc w:val="both"/>
      </w:pPr>
      <w:r>
        <w:rPr>
          <w:rFonts w:ascii="Calibri" w:hAnsi="Calibri"/>
          <w:sz w:val="22"/>
          <w:szCs w:val="22"/>
        </w:rPr>
        <w:t xml:space="preserve">L’Amministrazione effettua il pagamento della retribuzione di produttività mediante ordini collettivi di pagamento effettuati a mezzo del sistema </w:t>
      </w:r>
      <w:proofErr w:type="spellStart"/>
      <w:r>
        <w:rPr>
          <w:rFonts w:ascii="Calibri" w:hAnsi="Calibri"/>
          <w:sz w:val="22"/>
          <w:szCs w:val="22"/>
        </w:rPr>
        <w:t>NoiPA</w:t>
      </w:r>
      <w:proofErr w:type="spellEnd"/>
      <w:r>
        <w:rPr>
          <w:rFonts w:ascii="Calibri" w:hAnsi="Calibri"/>
          <w:sz w:val="22"/>
          <w:szCs w:val="22"/>
        </w:rPr>
        <w:t xml:space="preserve"> (già SPT) del MEF, in particolare tramite la “gestione retribuzione accessorie” (ex cedolino unico), sulla base del decreto del Ministro dell’economia e delle finanze del 1° dicembre 2010, recante la disciplina dello specifico sistema di erogazione unificata di competenze fisse e accessorie al personale centrale e periferico delle amministrazioni dello Stato.</w:t>
      </w:r>
    </w:p>
    <w:p w:rsidR="00A47796" w:rsidRDefault="0057338B">
      <w:pPr>
        <w:pStyle w:val="Titolo3"/>
        <w:tabs>
          <w:tab w:val="left" w:pos="1702"/>
        </w:tabs>
        <w:spacing w:after="240"/>
        <w:ind w:left="851" w:right="969" w:firstLine="426"/>
        <w:jc w:val="both"/>
      </w:pPr>
      <w:r>
        <w:rPr>
          <w:rFonts w:ascii="Calibri" w:hAnsi="Calibri"/>
          <w:sz w:val="22"/>
          <w:szCs w:val="22"/>
        </w:rPr>
        <w:t>Detto sistema, utilizzato dagli uffici dell’amministrazione centrale e dell’amministrazioni periferica, consente il controllo automatico di capienza finanziaria con riferimento al preventivo Piano di riparto, predisposto, per mezzo del sistema SICOGE del MEF, dalla Direzione generale per le risorse umane e finanziarie, a favore dei Punti Ordinanti della Spesa – POS - (Dipartimenti centrali e Uffici scolastici regionali) al pagamento delle spettanze in questione sui capitoli di bilancio cosiddetti “di cedolino unico”.</w:t>
      </w:r>
    </w:p>
    <w:p w:rsidR="00A47796" w:rsidRDefault="00A47796">
      <w:pPr>
        <w:pStyle w:val="Titolo3"/>
        <w:tabs>
          <w:tab w:val="left" w:pos="1702"/>
        </w:tabs>
        <w:spacing w:after="240"/>
        <w:ind w:left="851" w:right="969" w:hanging="1260"/>
        <w:jc w:val="both"/>
        <w:rPr>
          <w:rFonts w:ascii="Calibri" w:hAnsi="Calibri"/>
          <w:b/>
          <w:sz w:val="22"/>
          <w:szCs w:val="22"/>
        </w:rPr>
      </w:pPr>
    </w:p>
    <w:p w:rsidR="00A47796" w:rsidRDefault="0057338B">
      <w:pPr>
        <w:pStyle w:val="Titolo3"/>
        <w:tabs>
          <w:tab w:val="left" w:pos="1702"/>
        </w:tabs>
        <w:spacing w:after="240"/>
        <w:ind w:left="851" w:right="969"/>
        <w:jc w:val="both"/>
      </w:pPr>
      <w:r>
        <w:rPr>
          <w:rFonts w:ascii="Calibri" w:hAnsi="Calibri"/>
          <w:b/>
          <w:sz w:val="22"/>
          <w:szCs w:val="22"/>
        </w:rPr>
        <w:t>Verifica delle disponibilità finanziarie dell’Amministrazione ai fini della copertura delle diverse voci di destinazione della risorsa finanziaria.</w:t>
      </w:r>
    </w:p>
    <w:p w:rsidR="00A47796" w:rsidRDefault="0057338B">
      <w:pPr>
        <w:pStyle w:val="Titolo3"/>
        <w:tabs>
          <w:tab w:val="left" w:pos="1702"/>
        </w:tabs>
        <w:spacing w:after="240"/>
        <w:ind w:left="851" w:right="969" w:firstLine="426"/>
        <w:jc w:val="both"/>
      </w:pPr>
      <w:r>
        <w:rPr>
          <w:rFonts w:ascii="Calibri" w:hAnsi="Calibri"/>
          <w:sz w:val="22"/>
          <w:szCs w:val="22"/>
        </w:rPr>
        <w:t>Nel bilancio dello Stato, ed in particolare nello stato di previsione di questo Ministero, sono rinvenibili capitoli e piani gestionali dedicati in via esclusiva alla retribuzione accessoria, sia per quanto attiene gli imponibili lordo dipendente, sia per i conseguenti oneri a carico dello Stato (ex INPDAP e IRAP).</w:t>
      </w:r>
    </w:p>
    <w:p w:rsidR="00A47796" w:rsidRDefault="00A47796">
      <w:pPr>
        <w:pStyle w:val="Standard"/>
        <w:ind w:left="851" w:right="969"/>
      </w:pPr>
    </w:p>
    <w:p w:rsidR="00961B37" w:rsidRDefault="00961B37">
      <w:pPr>
        <w:pStyle w:val="Standard"/>
        <w:ind w:left="851" w:right="969"/>
      </w:pPr>
    </w:p>
    <w:p w:rsidR="00A47796" w:rsidRDefault="0057338B">
      <w:pPr>
        <w:pStyle w:val="Standard"/>
        <w:ind w:left="851" w:right="969"/>
        <w:jc w:val="both"/>
      </w:pPr>
      <w:r>
        <w:rPr>
          <w:rFonts w:ascii="Calibri" w:hAnsi="Calibri"/>
          <w:sz w:val="22"/>
          <w:szCs w:val="22"/>
        </w:rPr>
        <w:t xml:space="preserve">Di seguito lo schema dei capitoli sopracitati relativi al pagamento degli accessori al personale in servizio nel Dipartimento per la formazione superiore e per la ricerca </w:t>
      </w:r>
      <w:r>
        <w:rPr>
          <w:rFonts w:ascii="Calibri" w:hAnsi="Calibri"/>
          <w:bCs/>
          <w:sz w:val="22"/>
          <w:szCs w:val="22"/>
        </w:rPr>
        <w:t>per l’anno</w:t>
      </w:r>
      <w:r>
        <w:rPr>
          <w:rFonts w:ascii="Calibri" w:hAnsi="Calibri"/>
          <w:sz w:val="22"/>
          <w:szCs w:val="22"/>
        </w:rPr>
        <w:t xml:space="preserve"> </w:t>
      </w:r>
      <w:r>
        <w:rPr>
          <w:rFonts w:ascii="Calibri" w:hAnsi="Calibri"/>
          <w:bCs/>
          <w:sz w:val="22"/>
          <w:szCs w:val="22"/>
        </w:rPr>
        <w:t>2016</w:t>
      </w:r>
      <w:r>
        <w:rPr>
          <w:rFonts w:ascii="Calibri" w:hAnsi="Calibri"/>
          <w:sz w:val="22"/>
          <w:szCs w:val="22"/>
        </w:rPr>
        <w:t>.</w:t>
      </w:r>
    </w:p>
    <w:p w:rsidR="00A47796" w:rsidRDefault="00A47796">
      <w:pPr>
        <w:pStyle w:val="Standard"/>
        <w:ind w:left="851" w:right="969"/>
        <w:jc w:val="both"/>
        <w:rPr>
          <w:rFonts w:ascii="Calibri" w:hAnsi="Calibri"/>
          <w:sz w:val="22"/>
          <w:szCs w:val="22"/>
        </w:rPr>
      </w:pPr>
    </w:p>
    <w:p w:rsidR="00A47796" w:rsidRDefault="00A47796">
      <w:pPr>
        <w:pStyle w:val="Standard"/>
        <w:jc w:val="both"/>
        <w:rPr>
          <w:rFonts w:ascii="Calibri" w:hAnsi="Calibri"/>
          <w:sz w:val="22"/>
          <w:szCs w:val="22"/>
        </w:rPr>
      </w:pPr>
    </w:p>
    <w:tbl>
      <w:tblPr>
        <w:tblW w:w="7717" w:type="dxa"/>
        <w:jc w:val="center"/>
        <w:tblLayout w:type="fixed"/>
        <w:tblCellMar>
          <w:left w:w="10" w:type="dxa"/>
          <w:right w:w="10" w:type="dxa"/>
        </w:tblCellMar>
        <w:tblLook w:val="0000" w:firstRow="0" w:lastRow="0" w:firstColumn="0" w:lastColumn="0" w:noHBand="0" w:noVBand="0"/>
      </w:tblPr>
      <w:tblGrid>
        <w:gridCol w:w="1730"/>
        <w:gridCol w:w="642"/>
        <w:gridCol w:w="5345"/>
      </w:tblGrid>
      <w:tr w:rsidR="00A47796">
        <w:trPr>
          <w:trHeight w:val="607"/>
          <w:jc w:val="center"/>
        </w:trPr>
        <w:tc>
          <w:tcPr>
            <w:tcW w:w="1730" w:type="dxa"/>
            <w:tcBorders>
              <w:top w:val="single" w:sz="8" w:space="0" w:color="00000A"/>
              <w:left w:val="single" w:sz="8" w:space="0" w:color="00000A"/>
              <w:bottom w:val="single" w:sz="8" w:space="0" w:color="00000A"/>
              <w:right w:val="single" w:sz="8" w:space="0" w:color="00000A"/>
            </w:tcBorders>
            <w:tcMar>
              <w:top w:w="0" w:type="dxa"/>
              <w:left w:w="0" w:type="dxa"/>
              <w:bottom w:w="0" w:type="dxa"/>
              <w:right w:w="0" w:type="dxa"/>
            </w:tcMar>
          </w:tcPr>
          <w:p w:rsidR="00A47796" w:rsidRDefault="0057338B">
            <w:pPr>
              <w:pStyle w:val="Standard"/>
              <w:jc w:val="center"/>
            </w:pPr>
            <w:r>
              <w:rPr>
                <w:sz w:val="18"/>
                <w:szCs w:val="18"/>
              </w:rPr>
              <w:lastRenderedPageBreak/>
              <w:t>CAPITOLO</w:t>
            </w:r>
          </w:p>
        </w:tc>
        <w:tc>
          <w:tcPr>
            <w:tcW w:w="642" w:type="dxa"/>
            <w:tcBorders>
              <w:top w:val="single" w:sz="8" w:space="0" w:color="00000A"/>
              <w:bottom w:val="single" w:sz="8" w:space="0" w:color="00000A"/>
              <w:right w:val="single" w:sz="8" w:space="0" w:color="00000A"/>
            </w:tcBorders>
            <w:tcMar>
              <w:top w:w="0" w:type="dxa"/>
              <w:left w:w="0" w:type="dxa"/>
              <w:bottom w:w="0" w:type="dxa"/>
              <w:right w:w="0" w:type="dxa"/>
            </w:tcMar>
          </w:tcPr>
          <w:p w:rsidR="00A47796" w:rsidRDefault="0057338B">
            <w:pPr>
              <w:pStyle w:val="Standard"/>
              <w:jc w:val="center"/>
            </w:pPr>
            <w:r>
              <w:rPr>
                <w:sz w:val="18"/>
                <w:szCs w:val="18"/>
              </w:rPr>
              <w:t>COD. PG.</w:t>
            </w:r>
          </w:p>
        </w:tc>
        <w:tc>
          <w:tcPr>
            <w:tcW w:w="5345" w:type="dxa"/>
            <w:tcBorders>
              <w:top w:val="single" w:sz="8" w:space="0" w:color="00000A"/>
              <w:bottom w:val="single" w:sz="8" w:space="0" w:color="00000A"/>
              <w:right w:val="single" w:sz="8" w:space="0" w:color="00000A"/>
            </w:tcBorders>
            <w:tcMar>
              <w:top w:w="0" w:type="dxa"/>
              <w:left w:w="0" w:type="dxa"/>
              <w:bottom w:w="0" w:type="dxa"/>
              <w:right w:w="0" w:type="dxa"/>
            </w:tcMar>
          </w:tcPr>
          <w:p w:rsidR="00A47796" w:rsidRDefault="0057338B">
            <w:pPr>
              <w:pStyle w:val="Standard"/>
              <w:ind w:right="-108"/>
              <w:jc w:val="center"/>
            </w:pPr>
            <w:r>
              <w:rPr>
                <w:sz w:val="18"/>
                <w:szCs w:val="18"/>
              </w:rPr>
              <w:t>DESCRIZIONE P.G.</w:t>
            </w:r>
          </w:p>
        </w:tc>
      </w:tr>
      <w:tr w:rsidR="00A47796">
        <w:trPr>
          <w:trHeight w:val="394"/>
          <w:jc w:val="center"/>
        </w:trPr>
        <w:tc>
          <w:tcPr>
            <w:tcW w:w="1730" w:type="dxa"/>
            <w:tcBorders>
              <w:left w:val="single" w:sz="8" w:space="0" w:color="00000A"/>
              <w:bottom w:val="single" w:sz="8" w:space="0" w:color="00000A"/>
              <w:right w:val="single" w:sz="8" w:space="0" w:color="00000A"/>
            </w:tcBorders>
            <w:tcMar>
              <w:top w:w="0" w:type="dxa"/>
              <w:left w:w="0" w:type="dxa"/>
              <w:bottom w:w="0" w:type="dxa"/>
              <w:right w:w="0" w:type="dxa"/>
            </w:tcMar>
            <w:vAlign w:val="bottom"/>
          </w:tcPr>
          <w:p w:rsidR="00A47796" w:rsidRDefault="0057338B">
            <w:pPr>
              <w:pStyle w:val="Standard"/>
              <w:jc w:val="center"/>
            </w:pPr>
            <w:r>
              <w:rPr>
                <w:color w:val="000000"/>
                <w:sz w:val="18"/>
                <w:szCs w:val="18"/>
              </w:rPr>
              <w:t>1617</w:t>
            </w:r>
          </w:p>
        </w:tc>
        <w:tc>
          <w:tcPr>
            <w:tcW w:w="642" w:type="dxa"/>
            <w:tcBorders>
              <w:bottom w:val="single" w:sz="8" w:space="0" w:color="00000A"/>
              <w:right w:val="single" w:sz="8" w:space="0" w:color="00000A"/>
            </w:tcBorders>
            <w:tcMar>
              <w:top w:w="0" w:type="dxa"/>
              <w:left w:w="0" w:type="dxa"/>
              <w:bottom w:w="0" w:type="dxa"/>
              <w:right w:w="0" w:type="dxa"/>
            </w:tcMar>
            <w:vAlign w:val="bottom"/>
          </w:tcPr>
          <w:p w:rsidR="00A47796" w:rsidRDefault="0057338B">
            <w:pPr>
              <w:pStyle w:val="Standard"/>
              <w:jc w:val="center"/>
            </w:pPr>
            <w:r>
              <w:rPr>
                <w:color w:val="000000"/>
                <w:sz w:val="18"/>
                <w:szCs w:val="18"/>
              </w:rPr>
              <w:t>4</w:t>
            </w:r>
          </w:p>
        </w:tc>
        <w:tc>
          <w:tcPr>
            <w:tcW w:w="5345" w:type="dxa"/>
            <w:tcBorders>
              <w:bottom w:val="single" w:sz="8" w:space="0" w:color="00000A"/>
              <w:right w:val="single" w:sz="8" w:space="0" w:color="00000A"/>
            </w:tcBorders>
            <w:tcMar>
              <w:top w:w="0" w:type="dxa"/>
              <w:left w:w="0" w:type="dxa"/>
              <w:bottom w:w="0" w:type="dxa"/>
              <w:right w:w="0" w:type="dxa"/>
            </w:tcMar>
            <w:vAlign w:val="bottom"/>
          </w:tcPr>
          <w:p w:rsidR="00A47796" w:rsidRDefault="0057338B">
            <w:pPr>
              <w:pStyle w:val="Standard"/>
              <w:ind w:right="-249"/>
            </w:pPr>
            <w:r>
              <w:rPr>
                <w:color w:val="000000"/>
                <w:sz w:val="18"/>
                <w:szCs w:val="18"/>
              </w:rPr>
              <w:t>QUOTA DEL FONDO UNICO DI  AMMINISTRAZIONE.</w:t>
            </w:r>
          </w:p>
        </w:tc>
      </w:tr>
      <w:tr w:rsidR="00A47796">
        <w:trPr>
          <w:trHeight w:val="394"/>
          <w:jc w:val="center"/>
        </w:trPr>
        <w:tc>
          <w:tcPr>
            <w:tcW w:w="1730" w:type="dxa"/>
            <w:tcBorders>
              <w:left w:val="single" w:sz="8" w:space="0" w:color="00000A"/>
              <w:bottom w:val="single" w:sz="8" w:space="0" w:color="00000A"/>
              <w:right w:val="single" w:sz="8" w:space="0" w:color="00000A"/>
            </w:tcBorders>
            <w:tcMar>
              <w:top w:w="0" w:type="dxa"/>
              <w:left w:w="0" w:type="dxa"/>
              <w:bottom w:w="0" w:type="dxa"/>
              <w:right w:w="0" w:type="dxa"/>
            </w:tcMar>
            <w:vAlign w:val="bottom"/>
          </w:tcPr>
          <w:p w:rsidR="00A47796" w:rsidRDefault="0057338B">
            <w:pPr>
              <w:pStyle w:val="Standard"/>
              <w:jc w:val="center"/>
            </w:pPr>
            <w:r>
              <w:rPr>
                <w:color w:val="000000"/>
                <w:sz w:val="18"/>
                <w:szCs w:val="18"/>
              </w:rPr>
              <w:t>1600</w:t>
            </w:r>
          </w:p>
        </w:tc>
        <w:tc>
          <w:tcPr>
            <w:tcW w:w="642" w:type="dxa"/>
            <w:tcBorders>
              <w:bottom w:val="single" w:sz="8" w:space="0" w:color="00000A"/>
              <w:right w:val="single" w:sz="8" w:space="0" w:color="00000A"/>
            </w:tcBorders>
            <w:tcMar>
              <w:top w:w="0" w:type="dxa"/>
              <w:left w:w="0" w:type="dxa"/>
              <w:bottom w:w="0" w:type="dxa"/>
              <w:right w:w="0" w:type="dxa"/>
            </w:tcMar>
            <w:vAlign w:val="bottom"/>
          </w:tcPr>
          <w:p w:rsidR="00A47796" w:rsidRDefault="0057338B">
            <w:pPr>
              <w:pStyle w:val="Standard"/>
              <w:jc w:val="center"/>
            </w:pPr>
            <w:r>
              <w:rPr>
                <w:color w:val="000000"/>
                <w:sz w:val="18"/>
                <w:szCs w:val="18"/>
              </w:rPr>
              <w:t>4</w:t>
            </w:r>
          </w:p>
        </w:tc>
        <w:tc>
          <w:tcPr>
            <w:tcW w:w="5345" w:type="dxa"/>
            <w:tcBorders>
              <w:bottom w:val="single" w:sz="8" w:space="0" w:color="00000A"/>
              <w:right w:val="single" w:sz="8" w:space="0" w:color="00000A"/>
            </w:tcBorders>
            <w:tcMar>
              <w:top w:w="0" w:type="dxa"/>
              <w:left w:w="0" w:type="dxa"/>
              <w:bottom w:w="0" w:type="dxa"/>
              <w:right w:w="0" w:type="dxa"/>
            </w:tcMar>
            <w:vAlign w:val="bottom"/>
          </w:tcPr>
          <w:p w:rsidR="00A47796" w:rsidRDefault="0057338B">
            <w:pPr>
              <w:pStyle w:val="Standard"/>
              <w:ind w:right="-249"/>
            </w:pPr>
            <w:r>
              <w:rPr>
                <w:color w:val="000000"/>
                <w:sz w:val="18"/>
                <w:szCs w:val="18"/>
              </w:rPr>
              <w:t>QUOTA DEL FONDO UNICO DI  AMMINISTRAZIONE.</w:t>
            </w:r>
          </w:p>
        </w:tc>
      </w:tr>
      <w:tr w:rsidR="00A47796">
        <w:trPr>
          <w:trHeight w:val="394"/>
          <w:jc w:val="center"/>
        </w:trPr>
        <w:tc>
          <w:tcPr>
            <w:tcW w:w="1730" w:type="dxa"/>
            <w:tcBorders>
              <w:left w:val="single" w:sz="8" w:space="0" w:color="00000A"/>
              <w:bottom w:val="single" w:sz="8" w:space="0" w:color="00000A"/>
              <w:right w:val="single" w:sz="8" w:space="0" w:color="00000A"/>
            </w:tcBorders>
            <w:tcMar>
              <w:top w:w="0" w:type="dxa"/>
              <w:left w:w="0" w:type="dxa"/>
              <w:bottom w:w="0" w:type="dxa"/>
              <w:right w:w="0" w:type="dxa"/>
            </w:tcMar>
            <w:vAlign w:val="bottom"/>
          </w:tcPr>
          <w:p w:rsidR="00A47796" w:rsidRDefault="0057338B">
            <w:pPr>
              <w:pStyle w:val="Standard"/>
              <w:jc w:val="center"/>
            </w:pPr>
            <w:r>
              <w:rPr>
                <w:color w:val="000000"/>
                <w:sz w:val="18"/>
                <w:szCs w:val="18"/>
              </w:rPr>
              <w:t>1616</w:t>
            </w:r>
          </w:p>
        </w:tc>
        <w:tc>
          <w:tcPr>
            <w:tcW w:w="642" w:type="dxa"/>
            <w:tcBorders>
              <w:bottom w:val="single" w:sz="8" w:space="0" w:color="00000A"/>
              <w:right w:val="single" w:sz="8" w:space="0" w:color="00000A"/>
            </w:tcBorders>
            <w:tcMar>
              <w:top w:w="0" w:type="dxa"/>
              <w:left w:w="0" w:type="dxa"/>
              <w:bottom w:w="0" w:type="dxa"/>
              <w:right w:w="0" w:type="dxa"/>
            </w:tcMar>
            <w:vAlign w:val="bottom"/>
          </w:tcPr>
          <w:p w:rsidR="00A47796" w:rsidRDefault="0057338B">
            <w:pPr>
              <w:pStyle w:val="Standard"/>
              <w:jc w:val="center"/>
            </w:pPr>
            <w:r>
              <w:rPr>
                <w:color w:val="000000"/>
                <w:sz w:val="18"/>
                <w:szCs w:val="18"/>
              </w:rPr>
              <w:t>4</w:t>
            </w:r>
          </w:p>
        </w:tc>
        <w:tc>
          <w:tcPr>
            <w:tcW w:w="5345" w:type="dxa"/>
            <w:tcBorders>
              <w:bottom w:val="single" w:sz="8" w:space="0" w:color="00000A"/>
              <w:right w:val="single" w:sz="8" w:space="0" w:color="00000A"/>
            </w:tcBorders>
            <w:tcMar>
              <w:top w:w="0" w:type="dxa"/>
              <w:left w:w="0" w:type="dxa"/>
              <w:bottom w:w="0" w:type="dxa"/>
              <w:right w:w="0" w:type="dxa"/>
            </w:tcMar>
            <w:vAlign w:val="bottom"/>
          </w:tcPr>
          <w:p w:rsidR="00A47796" w:rsidRDefault="0057338B">
            <w:pPr>
              <w:pStyle w:val="Standard"/>
              <w:ind w:right="-249"/>
            </w:pPr>
            <w:r>
              <w:rPr>
                <w:color w:val="000000"/>
                <w:sz w:val="18"/>
                <w:szCs w:val="18"/>
              </w:rPr>
              <w:t>QUOTA DEL FONDO UNICO DI  AMMINISTRAZIONE.</w:t>
            </w:r>
          </w:p>
        </w:tc>
      </w:tr>
      <w:tr w:rsidR="00A47796">
        <w:trPr>
          <w:trHeight w:val="394"/>
          <w:jc w:val="center"/>
        </w:trPr>
        <w:tc>
          <w:tcPr>
            <w:tcW w:w="1730" w:type="dxa"/>
            <w:tcBorders>
              <w:left w:val="single" w:sz="8" w:space="0" w:color="00000A"/>
              <w:bottom w:val="single" w:sz="8" w:space="0" w:color="00000A"/>
              <w:right w:val="single" w:sz="8" w:space="0" w:color="00000A"/>
            </w:tcBorders>
            <w:tcMar>
              <w:top w:w="0" w:type="dxa"/>
              <w:left w:w="0" w:type="dxa"/>
              <w:bottom w:w="0" w:type="dxa"/>
              <w:right w:w="0" w:type="dxa"/>
            </w:tcMar>
            <w:vAlign w:val="bottom"/>
          </w:tcPr>
          <w:p w:rsidR="00A47796" w:rsidRDefault="0057338B">
            <w:pPr>
              <w:pStyle w:val="Standard"/>
              <w:jc w:val="center"/>
            </w:pPr>
            <w:r>
              <w:rPr>
                <w:color w:val="000000"/>
                <w:sz w:val="18"/>
                <w:szCs w:val="18"/>
              </w:rPr>
              <w:t>1607</w:t>
            </w:r>
          </w:p>
        </w:tc>
        <w:tc>
          <w:tcPr>
            <w:tcW w:w="642" w:type="dxa"/>
            <w:tcBorders>
              <w:bottom w:val="single" w:sz="8" w:space="0" w:color="00000A"/>
              <w:right w:val="single" w:sz="8" w:space="0" w:color="00000A"/>
            </w:tcBorders>
            <w:tcMar>
              <w:top w:w="0" w:type="dxa"/>
              <w:left w:w="0" w:type="dxa"/>
              <w:bottom w:w="0" w:type="dxa"/>
              <w:right w:w="0" w:type="dxa"/>
            </w:tcMar>
            <w:vAlign w:val="bottom"/>
          </w:tcPr>
          <w:p w:rsidR="00A47796" w:rsidRDefault="0057338B">
            <w:pPr>
              <w:pStyle w:val="Standard"/>
              <w:jc w:val="center"/>
            </w:pPr>
            <w:r>
              <w:rPr>
                <w:color w:val="000000"/>
                <w:sz w:val="18"/>
                <w:szCs w:val="18"/>
              </w:rPr>
              <w:t>4</w:t>
            </w:r>
          </w:p>
        </w:tc>
        <w:tc>
          <w:tcPr>
            <w:tcW w:w="5345" w:type="dxa"/>
            <w:tcBorders>
              <w:bottom w:val="single" w:sz="8" w:space="0" w:color="00000A"/>
              <w:right w:val="single" w:sz="8" w:space="0" w:color="00000A"/>
            </w:tcBorders>
            <w:tcMar>
              <w:top w:w="0" w:type="dxa"/>
              <w:left w:w="0" w:type="dxa"/>
              <w:bottom w:w="0" w:type="dxa"/>
              <w:right w:w="0" w:type="dxa"/>
            </w:tcMar>
            <w:vAlign w:val="bottom"/>
          </w:tcPr>
          <w:p w:rsidR="00A47796" w:rsidRDefault="0057338B">
            <w:pPr>
              <w:pStyle w:val="Standard"/>
              <w:ind w:right="-249"/>
            </w:pPr>
            <w:r>
              <w:rPr>
                <w:color w:val="000000"/>
                <w:sz w:val="18"/>
                <w:szCs w:val="18"/>
              </w:rPr>
              <w:t>QUOTA DEL FONDO UNICO DI  AMMINISTRAZIONE.</w:t>
            </w:r>
          </w:p>
        </w:tc>
      </w:tr>
      <w:tr w:rsidR="00A47796">
        <w:trPr>
          <w:trHeight w:val="394"/>
          <w:jc w:val="center"/>
        </w:trPr>
        <w:tc>
          <w:tcPr>
            <w:tcW w:w="1730" w:type="dxa"/>
            <w:tcBorders>
              <w:left w:val="single" w:sz="8" w:space="0" w:color="00000A"/>
              <w:bottom w:val="single" w:sz="8" w:space="0" w:color="00000A"/>
              <w:right w:val="single" w:sz="8" w:space="0" w:color="00000A"/>
            </w:tcBorders>
            <w:tcMar>
              <w:top w:w="0" w:type="dxa"/>
              <w:left w:w="0" w:type="dxa"/>
              <w:bottom w:w="0" w:type="dxa"/>
              <w:right w:w="0" w:type="dxa"/>
            </w:tcMar>
            <w:vAlign w:val="bottom"/>
          </w:tcPr>
          <w:p w:rsidR="00A47796" w:rsidRDefault="0057338B">
            <w:pPr>
              <w:pStyle w:val="Standard"/>
              <w:jc w:val="center"/>
            </w:pPr>
            <w:r>
              <w:rPr>
                <w:color w:val="000000"/>
                <w:sz w:val="18"/>
                <w:szCs w:val="18"/>
              </w:rPr>
              <w:t>1617</w:t>
            </w:r>
          </w:p>
        </w:tc>
        <w:tc>
          <w:tcPr>
            <w:tcW w:w="642" w:type="dxa"/>
            <w:tcBorders>
              <w:bottom w:val="single" w:sz="8" w:space="0" w:color="00000A"/>
              <w:right w:val="single" w:sz="8" w:space="0" w:color="00000A"/>
            </w:tcBorders>
            <w:tcMar>
              <w:top w:w="0" w:type="dxa"/>
              <w:left w:w="0" w:type="dxa"/>
              <w:bottom w:w="0" w:type="dxa"/>
              <w:right w:w="0" w:type="dxa"/>
            </w:tcMar>
            <w:vAlign w:val="bottom"/>
          </w:tcPr>
          <w:p w:rsidR="00A47796" w:rsidRDefault="0057338B">
            <w:pPr>
              <w:pStyle w:val="Standard"/>
              <w:jc w:val="center"/>
              <w:rPr>
                <w:sz w:val="18"/>
                <w:szCs w:val="18"/>
              </w:rPr>
            </w:pPr>
            <w:r>
              <w:rPr>
                <w:color w:val="000000"/>
                <w:sz w:val="18"/>
                <w:szCs w:val="18"/>
              </w:rPr>
              <w:t>5</w:t>
            </w:r>
          </w:p>
        </w:tc>
        <w:tc>
          <w:tcPr>
            <w:tcW w:w="5345" w:type="dxa"/>
            <w:tcBorders>
              <w:bottom w:val="single" w:sz="8" w:space="0" w:color="00000A"/>
              <w:right w:val="single" w:sz="8" w:space="0" w:color="00000A"/>
            </w:tcBorders>
            <w:tcMar>
              <w:top w:w="0" w:type="dxa"/>
              <w:left w:w="0" w:type="dxa"/>
              <w:bottom w:w="0" w:type="dxa"/>
              <w:right w:w="0" w:type="dxa"/>
            </w:tcMar>
            <w:vAlign w:val="bottom"/>
          </w:tcPr>
          <w:p w:rsidR="00A47796" w:rsidRDefault="0057338B">
            <w:pPr>
              <w:pStyle w:val="Standard"/>
              <w:ind w:right="-249"/>
              <w:rPr>
                <w:sz w:val="18"/>
                <w:szCs w:val="18"/>
              </w:rPr>
            </w:pPr>
            <w:r>
              <w:rPr>
                <w:color w:val="000000"/>
                <w:sz w:val="18"/>
                <w:szCs w:val="18"/>
              </w:rPr>
              <w:t xml:space="preserve">CONTRIBUTI </w:t>
            </w:r>
            <w:r>
              <w:rPr>
                <w:rFonts w:cs="Calibri"/>
                <w:color w:val="000000"/>
                <w:sz w:val="18"/>
                <w:szCs w:val="18"/>
              </w:rPr>
              <w:t>PREVIDENZIALI ED ASSISTENZIALIA CARICO DELL'AMMINISTRAZIONE RELATIVI ALLE COMPETENZE ACCESSORIE</w:t>
            </w:r>
          </w:p>
        </w:tc>
      </w:tr>
      <w:tr w:rsidR="00A47796">
        <w:trPr>
          <w:trHeight w:val="352"/>
          <w:jc w:val="center"/>
        </w:trPr>
        <w:tc>
          <w:tcPr>
            <w:tcW w:w="1730" w:type="dxa"/>
            <w:tcBorders>
              <w:left w:val="single" w:sz="8" w:space="0" w:color="00000A"/>
              <w:bottom w:val="single" w:sz="8" w:space="0" w:color="00000A"/>
              <w:right w:val="single" w:sz="8" w:space="0" w:color="00000A"/>
            </w:tcBorders>
            <w:tcMar>
              <w:top w:w="0" w:type="dxa"/>
              <w:left w:w="0" w:type="dxa"/>
              <w:bottom w:w="0" w:type="dxa"/>
              <w:right w:w="0" w:type="dxa"/>
            </w:tcMar>
            <w:vAlign w:val="bottom"/>
          </w:tcPr>
          <w:p w:rsidR="00A47796" w:rsidRDefault="0057338B">
            <w:pPr>
              <w:pStyle w:val="Standard"/>
              <w:jc w:val="center"/>
            </w:pPr>
            <w:r>
              <w:rPr>
                <w:color w:val="000000"/>
                <w:sz w:val="18"/>
                <w:szCs w:val="18"/>
              </w:rPr>
              <w:t>1600</w:t>
            </w:r>
          </w:p>
        </w:tc>
        <w:tc>
          <w:tcPr>
            <w:tcW w:w="642" w:type="dxa"/>
            <w:tcBorders>
              <w:bottom w:val="single" w:sz="8" w:space="0" w:color="00000A"/>
              <w:right w:val="single" w:sz="8" w:space="0" w:color="00000A"/>
            </w:tcBorders>
            <w:tcMar>
              <w:top w:w="0" w:type="dxa"/>
              <w:left w:w="0" w:type="dxa"/>
              <w:bottom w:w="0" w:type="dxa"/>
              <w:right w:w="0" w:type="dxa"/>
            </w:tcMar>
            <w:vAlign w:val="bottom"/>
          </w:tcPr>
          <w:p w:rsidR="00A47796" w:rsidRDefault="0057338B">
            <w:pPr>
              <w:pStyle w:val="Standard"/>
              <w:jc w:val="center"/>
            </w:pPr>
            <w:r>
              <w:rPr>
                <w:color w:val="000000"/>
                <w:sz w:val="18"/>
                <w:szCs w:val="18"/>
              </w:rPr>
              <w:t>5</w:t>
            </w:r>
          </w:p>
        </w:tc>
        <w:tc>
          <w:tcPr>
            <w:tcW w:w="5345" w:type="dxa"/>
            <w:tcBorders>
              <w:bottom w:val="single" w:sz="8" w:space="0" w:color="00000A"/>
              <w:right w:val="single" w:sz="8" w:space="0" w:color="00000A"/>
            </w:tcBorders>
            <w:tcMar>
              <w:top w:w="0" w:type="dxa"/>
              <w:left w:w="0" w:type="dxa"/>
              <w:bottom w:w="0" w:type="dxa"/>
              <w:right w:w="0" w:type="dxa"/>
            </w:tcMar>
            <w:vAlign w:val="bottom"/>
          </w:tcPr>
          <w:p w:rsidR="00A47796" w:rsidRDefault="0057338B">
            <w:pPr>
              <w:pStyle w:val="Standard"/>
              <w:ind w:right="-249"/>
              <w:rPr>
                <w:sz w:val="18"/>
                <w:szCs w:val="18"/>
              </w:rPr>
            </w:pPr>
            <w:r>
              <w:rPr>
                <w:rFonts w:cs="Calibri"/>
                <w:color w:val="000000"/>
                <w:sz w:val="18"/>
                <w:szCs w:val="18"/>
              </w:rPr>
              <w:t>CONTRIBUTI PREVIDENZIALI ED ASSISTENZIALIA CARICO DELL'AMMINISTRAZIONE RELATIVI ALLE COMPETENZE ACCESSORIE</w:t>
            </w:r>
          </w:p>
        </w:tc>
      </w:tr>
      <w:tr w:rsidR="00A47796">
        <w:trPr>
          <w:trHeight w:val="394"/>
          <w:jc w:val="center"/>
        </w:trPr>
        <w:tc>
          <w:tcPr>
            <w:tcW w:w="1730" w:type="dxa"/>
            <w:tcBorders>
              <w:left w:val="single" w:sz="8" w:space="0" w:color="00000A"/>
              <w:bottom w:val="single" w:sz="8" w:space="0" w:color="00000A"/>
              <w:right w:val="single" w:sz="8" w:space="0" w:color="00000A"/>
            </w:tcBorders>
            <w:tcMar>
              <w:top w:w="0" w:type="dxa"/>
              <w:left w:w="0" w:type="dxa"/>
              <w:bottom w:w="0" w:type="dxa"/>
              <w:right w:w="0" w:type="dxa"/>
            </w:tcMar>
            <w:vAlign w:val="bottom"/>
          </w:tcPr>
          <w:p w:rsidR="00A47796" w:rsidRDefault="0057338B">
            <w:pPr>
              <w:pStyle w:val="Standard"/>
              <w:jc w:val="center"/>
            </w:pPr>
            <w:r>
              <w:rPr>
                <w:color w:val="000000"/>
                <w:sz w:val="18"/>
                <w:szCs w:val="18"/>
              </w:rPr>
              <w:t>1616</w:t>
            </w:r>
          </w:p>
        </w:tc>
        <w:tc>
          <w:tcPr>
            <w:tcW w:w="642" w:type="dxa"/>
            <w:tcBorders>
              <w:bottom w:val="single" w:sz="8" w:space="0" w:color="00000A"/>
              <w:right w:val="single" w:sz="8" w:space="0" w:color="00000A"/>
            </w:tcBorders>
            <w:tcMar>
              <w:top w:w="0" w:type="dxa"/>
              <w:left w:w="0" w:type="dxa"/>
              <w:bottom w:w="0" w:type="dxa"/>
              <w:right w:w="0" w:type="dxa"/>
            </w:tcMar>
            <w:vAlign w:val="bottom"/>
          </w:tcPr>
          <w:p w:rsidR="00A47796" w:rsidRDefault="0057338B">
            <w:pPr>
              <w:pStyle w:val="Standard"/>
              <w:jc w:val="center"/>
            </w:pPr>
            <w:r>
              <w:rPr>
                <w:color w:val="000000"/>
                <w:sz w:val="18"/>
                <w:szCs w:val="18"/>
              </w:rPr>
              <w:t>5</w:t>
            </w:r>
          </w:p>
        </w:tc>
        <w:tc>
          <w:tcPr>
            <w:tcW w:w="5345" w:type="dxa"/>
            <w:tcBorders>
              <w:bottom w:val="single" w:sz="8" w:space="0" w:color="00000A"/>
              <w:right w:val="single" w:sz="8" w:space="0" w:color="00000A"/>
            </w:tcBorders>
            <w:tcMar>
              <w:top w:w="0" w:type="dxa"/>
              <w:left w:w="0" w:type="dxa"/>
              <w:bottom w:w="0" w:type="dxa"/>
              <w:right w:w="0" w:type="dxa"/>
            </w:tcMar>
            <w:vAlign w:val="bottom"/>
          </w:tcPr>
          <w:p w:rsidR="00A47796" w:rsidRDefault="0057338B">
            <w:pPr>
              <w:pStyle w:val="Standard"/>
              <w:ind w:right="-249"/>
              <w:rPr>
                <w:sz w:val="18"/>
                <w:szCs w:val="18"/>
              </w:rPr>
            </w:pPr>
            <w:r>
              <w:rPr>
                <w:color w:val="000000"/>
                <w:sz w:val="18"/>
                <w:szCs w:val="18"/>
              </w:rPr>
              <w:t xml:space="preserve">CONTRIBUTI </w:t>
            </w:r>
            <w:r>
              <w:rPr>
                <w:rFonts w:cs="Calibri"/>
                <w:color w:val="000000"/>
                <w:sz w:val="18"/>
                <w:szCs w:val="18"/>
              </w:rPr>
              <w:t>PREVIDENZIALI ED ASSISTENZIALIA CARICO DELL'AMMINISTRAZIONE RELATIVI ALLE COMPETENZE ACCESSORIE</w:t>
            </w:r>
          </w:p>
        </w:tc>
      </w:tr>
      <w:tr w:rsidR="00A47796">
        <w:trPr>
          <w:trHeight w:val="394"/>
          <w:jc w:val="center"/>
        </w:trPr>
        <w:tc>
          <w:tcPr>
            <w:tcW w:w="1730" w:type="dxa"/>
            <w:tcBorders>
              <w:left w:val="single" w:sz="8" w:space="0" w:color="00000A"/>
              <w:bottom w:val="single" w:sz="8" w:space="0" w:color="00000A"/>
              <w:right w:val="single" w:sz="8" w:space="0" w:color="00000A"/>
            </w:tcBorders>
            <w:tcMar>
              <w:top w:w="0" w:type="dxa"/>
              <w:left w:w="0" w:type="dxa"/>
              <w:bottom w:w="0" w:type="dxa"/>
              <w:right w:w="0" w:type="dxa"/>
            </w:tcMar>
            <w:vAlign w:val="bottom"/>
          </w:tcPr>
          <w:p w:rsidR="00A47796" w:rsidRDefault="0057338B">
            <w:pPr>
              <w:pStyle w:val="Standard"/>
              <w:jc w:val="center"/>
            </w:pPr>
            <w:r>
              <w:rPr>
                <w:color w:val="000000"/>
                <w:sz w:val="18"/>
                <w:szCs w:val="18"/>
              </w:rPr>
              <w:t>1607</w:t>
            </w:r>
          </w:p>
        </w:tc>
        <w:tc>
          <w:tcPr>
            <w:tcW w:w="642" w:type="dxa"/>
            <w:tcBorders>
              <w:bottom w:val="single" w:sz="8" w:space="0" w:color="00000A"/>
              <w:right w:val="single" w:sz="8" w:space="0" w:color="00000A"/>
            </w:tcBorders>
            <w:tcMar>
              <w:top w:w="0" w:type="dxa"/>
              <w:left w:w="0" w:type="dxa"/>
              <w:bottom w:w="0" w:type="dxa"/>
              <w:right w:w="0" w:type="dxa"/>
            </w:tcMar>
            <w:vAlign w:val="bottom"/>
          </w:tcPr>
          <w:p w:rsidR="00A47796" w:rsidRDefault="0057338B">
            <w:pPr>
              <w:pStyle w:val="Standard"/>
              <w:jc w:val="center"/>
            </w:pPr>
            <w:r>
              <w:rPr>
                <w:color w:val="000000"/>
                <w:sz w:val="18"/>
                <w:szCs w:val="18"/>
              </w:rPr>
              <w:t>5</w:t>
            </w:r>
          </w:p>
        </w:tc>
        <w:tc>
          <w:tcPr>
            <w:tcW w:w="5345" w:type="dxa"/>
            <w:tcBorders>
              <w:bottom w:val="single" w:sz="8" w:space="0" w:color="00000A"/>
              <w:right w:val="single" w:sz="8" w:space="0" w:color="00000A"/>
            </w:tcBorders>
            <w:tcMar>
              <w:top w:w="0" w:type="dxa"/>
              <w:left w:w="0" w:type="dxa"/>
              <w:bottom w:w="0" w:type="dxa"/>
              <w:right w:w="0" w:type="dxa"/>
            </w:tcMar>
            <w:vAlign w:val="bottom"/>
          </w:tcPr>
          <w:p w:rsidR="00A47796" w:rsidRDefault="0057338B">
            <w:pPr>
              <w:pStyle w:val="Standard"/>
              <w:ind w:right="-249"/>
              <w:rPr>
                <w:sz w:val="18"/>
                <w:szCs w:val="18"/>
              </w:rPr>
            </w:pPr>
            <w:r>
              <w:rPr>
                <w:color w:val="000000"/>
                <w:sz w:val="18"/>
                <w:szCs w:val="18"/>
              </w:rPr>
              <w:t xml:space="preserve">CONTRIBUTI </w:t>
            </w:r>
            <w:r>
              <w:rPr>
                <w:rFonts w:cs="Calibri"/>
                <w:color w:val="000000"/>
                <w:sz w:val="18"/>
                <w:szCs w:val="18"/>
              </w:rPr>
              <w:t>PREVIDENZIALI ED ASSISTENZIALIA CARICO DELL'AMMINISTRAZIONE RELATIVI ALLE COMPETENZE ACCESSORIE</w:t>
            </w:r>
          </w:p>
        </w:tc>
      </w:tr>
      <w:tr w:rsidR="00A47796">
        <w:trPr>
          <w:trHeight w:val="394"/>
          <w:jc w:val="center"/>
        </w:trPr>
        <w:tc>
          <w:tcPr>
            <w:tcW w:w="1730" w:type="dxa"/>
            <w:tcBorders>
              <w:left w:val="single" w:sz="8" w:space="0" w:color="00000A"/>
              <w:bottom w:val="single" w:sz="8" w:space="0" w:color="00000A"/>
              <w:right w:val="single" w:sz="8" w:space="0" w:color="00000A"/>
            </w:tcBorders>
            <w:tcMar>
              <w:top w:w="0" w:type="dxa"/>
              <w:left w:w="0" w:type="dxa"/>
              <w:bottom w:w="0" w:type="dxa"/>
              <w:right w:w="0" w:type="dxa"/>
            </w:tcMar>
            <w:vAlign w:val="bottom"/>
          </w:tcPr>
          <w:p w:rsidR="00A47796" w:rsidRDefault="0057338B">
            <w:pPr>
              <w:pStyle w:val="Standard"/>
              <w:jc w:val="center"/>
            </w:pPr>
            <w:r>
              <w:rPr>
                <w:color w:val="000000"/>
                <w:sz w:val="18"/>
                <w:szCs w:val="18"/>
              </w:rPr>
              <w:t>1631</w:t>
            </w:r>
          </w:p>
        </w:tc>
        <w:tc>
          <w:tcPr>
            <w:tcW w:w="642" w:type="dxa"/>
            <w:tcBorders>
              <w:bottom w:val="single" w:sz="8" w:space="0" w:color="00000A"/>
              <w:right w:val="single" w:sz="8" w:space="0" w:color="00000A"/>
            </w:tcBorders>
            <w:tcMar>
              <w:top w:w="0" w:type="dxa"/>
              <w:left w:w="0" w:type="dxa"/>
              <w:bottom w:w="0" w:type="dxa"/>
              <w:right w:w="0" w:type="dxa"/>
            </w:tcMar>
            <w:vAlign w:val="bottom"/>
          </w:tcPr>
          <w:p w:rsidR="00A47796" w:rsidRDefault="0057338B">
            <w:pPr>
              <w:pStyle w:val="Standard"/>
              <w:jc w:val="center"/>
            </w:pPr>
            <w:r>
              <w:rPr>
                <w:color w:val="000000"/>
                <w:sz w:val="18"/>
                <w:szCs w:val="18"/>
              </w:rPr>
              <w:t>2</w:t>
            </w:r>
          </w:p>
        </w:tc>
        <w:tc>
          <w:tcPr>
            <w:tcW w:w="5345" w:type="dxa"/>
            <w:tcBorders>
              <w:bottom w:val="single" w:sz="8" w:space="0" w:color="00000A"/>
              <w:right w:val="single" w:sz="8" w:space="0" w:color="00000A"/>
            </w:tcBorders>
            <w:tcMar>
              <w:top w:w="0" w:type="dxa"/>
              <w:left w:w="0" w:type="dxa"/>
              <w:bottom w:w="0" w:type="dxa"/>
              <w:right w:w="0" w:type="dxa"/>
            </w:tcMar>
            <w:vAlign w:val="bottom"/>
          </w:tcPr>
          <w:p w:rsidR="00A47796" w:rsidRDefault="0057338B">
            <w:pPr>
              <w:pStyle w:val="Standard"/>
              <w:ind w:right="-249"/>
            </w:pPr>
            <w:r>
              <w:rPr>
                <w:color w:val="000000"/>
                <w:sz w:val="18"/>
                <w:szCs w:val="18"/>
              </w:rPr>
              <w:t>IRAP SULLE COMPETENZE ACCESSORIE</w:t>
            </w:r>
          </w:p>
        </w:tc>
      </w:tr>
      <w:tr w:rsidR="00A47796">
        <w:trPr>
          <w:trHeight w:val="394"/>
          <w:jc w:val="center"/>
        </w:trPr>
        <w:tc>
          <w:tcPr>
            <w:tcW w:w="1730" w:type="dxa"/>
            <w:tcBorders>
              <w:left w:val="single" w:sz="8" w:space="0" w:color="00000A"/>
              <w:bottom w:val="single" w:sz="8" w:space="0" w:color="00000A"/>
              <w:right w:val="single" w:sz="8" w:space="0" w:color="00000A"/>
            </w:tcBorders>
            <w:tcMar>
              <w:top w:w="0" w:type="dxa"/>
              <w:left w:w="0" w:type="dxa"/>
              <w:bottom w:w="0" w:type="dxa"/>
              <w:right w:w="0" w:type="dxa"/>
            </w:tcMar>
            <w:vAlign w:val="bottom"/>
          </w:tcPr>
          <w:p w:rsidR="00A47796" w:rsidRDefault="0057338B">
            <w:pPr>
              <w:pStyle w:val="Standard"/>
              <w:jc w:val="center"/>
            </w:pPr>
            <w:r>
              <w:rPr>
                <w:color w:val="000000"/>
                <w:sz w:val="18"/>
                <w:szCs w:val="18"/>
              </w:rPr>
              <w:t>1613</w:t>
            </w:r>
          </w:p>
        </w:tc>
        <w:tc>
          <w:tcPr>
            <w:tcW w:w="642" w:type="dxa"/>
            <w:tcBorders>
              <w:bottom w:val="single" w:sz="8" w:space="0" w:color="00000A"/>
              <w:right w:val="single" w:sz="8" w:space="0" w:color="00000A"/>
            </w:tcBorders>
            <w:tcMar>
              <w:top w:w="0" w:type="dxa"/>
              <w:left w:w="0" w:type="dxa"/>
              <w:bottom w:w="0" w:type="dxa"/>
              <w:right w:w="0" w:type="dxa"/>
            </w:tcMar>
            <w:vAlign w:val="bottom"/>
          </w:tcPr>
          <w:p w:rsidR="00A47796" w:rsidRDefault="0057338B">
            <w:pPr>
              <w:pStyle w:val="Standard"/>
              <w:jc w:val="center"/>
            </w:pPr>
            <w:r>
              <w:rPr>
                <w:color w:val="000000"/>
                <w:sz w:val="18"/>
                <w:szCs w:val="18"/>
              </w:rPr>
              <w:t>2</w:t>
            </w:r>
          </w:p>
        </w:tc>
        <w:tc>
          <w:tcPr>
            <w:tcW w:w="5345" w:type="dxa"/>
            <w:tcBorders>
              <w:bottom w:val="single" w:sz="8" w:space="0" w:color="00000A"/>
              <w:right w:val="single" w:sz="8" w:space="0" w:color="00000A"/>
            </w:tcBorders>
            <w:tcMar>
              <w:top w:w="0" w:type="dxa"/>
              <w:left w:w="0" w:type="dxa"/>
              <w:bottom w:w="0" w:type="dxa"/>
              <w:right w:w="0" w:type="dxa"/>
            </w:tcMar>
            <w:vAlign w:val="bottom"/>
          </w:tcPr>
          <w:p w:rsidR="00A47796" w:rsidRDefault="0057338B">
            <w:pPr>
              <w:pStyle w:val="Standard"/>
              <w:ind w:right="-249"/>
            </w:pPr>
            <w:r>
              <w:rPr>
                <w:color w:val="000000"/>
                <w:sz w:val="18"/>
                <w:szCs w:val="18"/>
              </w:rPr>
              <w:t>IRAP SULLE COMPETENZE ACCESSORIE</w:t>
            </w:r>
          </w:p>
        </w:tc>
      </w:tr>
      <w:tr w:rsidR="00A47796">
        <w:trPr>
          <w:trHeight w:val="394"/>
          <w:jc w:val="center"/>
        </w:trPr>
        <w:tc>
          <w:tcPr>
            <w:tcW w:w="1730" w:type="dxa"/>
            <w:tcBorders>
              <w:left w:val="single" w:sz="8" w:space="0" w:color="00000A"/>
              <w:bottom w:val="single" w:sz="8" w:space="0" w:color="00000A"/>
              <w:right w:val="single" w:sz="8" w:space="0" w:color="00000A"/>
            </w:tcBorders>
            <w:tcMar>
              <w:top w:w="0" w:type="dxa"/>
              <w:left w:w="0" w:type="dxa"/>
              <w:bottom w:w="0" w:type="dxa"/>
              <w:right w:w="0" w:type="dxa"/>
            </w:tcMar>
            <w:vAlign w:val="bottom"/>
          </w:tcPr>
          <w:p w:rsidR="00A47796" w:rsidRDefault="0057338B">
            <w:pPr>
              <w:pStyle w:val="Standard"/>
              <w:jc w:val="center"/>
            </w:pPr>
            <w:r>
              <w:rPr>
                <w:color w:val="000000"/>
                <w:sz w:val="18"/>
                <w:szCs w:val="18"/>
              </w:rPr>
              <w:t>1621</w:t>
            </w:r>
          </w:p>
        </w:tc>
        <w:tc>
          <w:tcPr>
            <w:tcW w:w="642" w:type="dxa"/>
            <w:tcBorders>
              <w:bottom w:val="single" w:sz="8" w:space="0" w:color="00000A"/>
              <w:right w:val="single" w:sz="8" w:space="0" w:color="00000A"/>
            </w:tcBorders>
            <w:tcMar>
              <w:top w:w="0" w:type="dxa"/>
              <w:left w:w="0" w:type="dxa"/>
              <w:bottom w:w="0" w:type="dxa"/>
              <w:right w:w="0" w:type="dxa"/>
            </w:tcMar>
            <w:vAlign w:val="bottom"/>
          </w:tcPr>
          <w:p w:rsidR="00A47796" w:rsidRDefault="0057338B">
            <w:pPr>
              <w:pStyle w:val="Standard"/>
              <w:jc w:val="center"/>
            </w:pPr>
            <w:r>
              <w:rPr>
                <w:color w:val="000000"/>
                <w:sz w:val="18"/>
                <w:szCs w:val="18"/>
              </w:rPr>
              <w:t>2</w:t>
            </w:r>
          </w:p>
        </w:tc>
        <w:tc>
          <w:tcPr>
            <w:tcW w:w="5345" w:type="dxa"/>
            <w:tcBorders>
              <w:bottom w:val="single" w:sz="8" w:space="0" w:color="00000A"/>
              <w:right w:val="single" w:sz="8" w:space="0" w:color="00000A"/>
            </w:tcBorders>
            <w:tcMar>
              <w:top w:w="0" w:type="dxa"/>
              <w:left w:w="0" w:type="dxa"/>
              <w:bottom w:w="0" w:type="dxa"/>
              <w:right w:w="0" w:type="dxa"/>
            </w:tcMar>
            <w:vAlign w:val="bottom"/>
          </w:tcPr>
          <w:p w:rsidR="00A47796" w:rsidRDefault="0057338B">
            <w:pPr>
              <w:pStyle w:val="Standard"/>
              <w:ind w:right="-249"/>
            </w:pPr>
            <w:r>
              <w:rPr>
                <w:color w:val="000000"/>
                <w:sz w:val="18"/>
                <w:szCs w:val="18"/>
              </w:rPr>
              <w:t>IRAP SULLE COMPETENZE ACCESSORIE</w:t>
            </w:r>
          </w:p>
        </w:tc>
      </w:tr>
      <w:tr w:rsidR="00A47796">
        <w:trPr>
          <w:trHeight w:val="394"/>
          <w:jc w:val="center"/>
        </w:trPr>
        <w:tc>
          <w:tcPr>
            <w:tcW w:w="1730" w:type="dxa"/>
            <w:tcBorders>
              <w:left w:val="single" w:sz="8" w:space="0" w:color="00000A"/>
              <w:bottom w:val="single" w:sz="8" w:space="0" w:color="00000A"/>
              <w:right w:val="single" w:sz="8" w:space="0" w:color="00000A"/>
            </w:tcBorders>
            <w:tcMar>
              <w:top w:w="0" w:type="dxa"/>
              <w:left w:w="0" w:type="dxa"/>
              <w:bottom w:w="0" w:type="dxa"/>
              <w:right w:w="0" w:type="dxa"/>
            </w:tcMar>
            <w:vAlign w:val="bottom"/>
          </w:tcPr>
          <w:p w:rsidR="00A47796" w:rsidRDefault="0057338B">
            <w:pPr>
              <w:pStyle w:val="Standard"/>
              <w:jc w:val="center"/>
            </w:pPr>
            <w:r>
              <w:rPr>
                <w:color w:val="000000"/>
                <w:sz w:val="18"/>
                <w:szCs w:val="18"/>
              </w:rPr>
              <w:t>1624</w:t>
            </w:r>
          </w:p>
        </w:tc>
        <w:tc>
          <w:tcPr>
            <w:tcW w:w="642" w:type="dxa"/>
            <w:tcBorders>
              <w:bottom w:val="single" w:sz="8" w:space="0" w:color="00000A"/>
              <w:right w:val="single" w:sz="8" w:space="0" w:color="00000A"/>
            </w:tcBorders>
            <w:tcMar>
              <w:top w:w="0" w:type="dxa"/>
              <w:left w:w="0" w:type="dxa"/>
              <w:bottom w:w="0" w:type="dxa"/>
              <w:right w:w="0" w:type="dxa"/>
            </w:tcMar>
            <w:vAlign w:val="bottom"/>
          </w:tcPr>
          <w:p w:rsidR="00A47796" w:rsidRDefault="0057338B">
            <w:pPr>
              <w:pStyle w:val="Standard"/>
              <w:jc w:val="center"/>
            </w:pPr>
            <w:r>
              <w:rPr>
                <w:color w:val="000000"/>
                <w:sz w:val="18"/>
                <w:szCs w:val="18"/>
              </w:rPr>
              <w:t>2</w:t>
            </w:r>
          </w:p>
        </w:tc>
        <w:tc>
          <w:tcPr>
            <w:tcW w:w="5345" w:type="dxa"/>
            <w:tcBorders>
              <w:bottom w:val="single" w:sz="8" w:space="0" w:color="00000A"/>
              <w:right w:val="single" w:sz="8" w:space="0" w:color="00000A"/>
            </w:tcBorders>
            <w:tcMar>
              <w:top w:w="0" w:type="dxa"/>
              <w:left w:w="0" w:type="dxa"/>
              <w:bottom w:w="0" w:type="dxa"/>
              <w:right w:w="0" w:type="dxa"/>
            </w:tcMar>
            <w:vAlign w:val="bottom"/>
          </w:tcPr>
          <w:p w:rsidR="00A47796" w:rsidRDefault="0057338B">
            <w:pPr>
              <w:pStyle w:val="Standard"/>
              <w:ind w:right="-249"/>
            </w:pPr>
            <w:r>
              <w:rPr>
                <w:color w:val="000000"/>
                <w:sz w:val="18"/>
                <w:szCs w:val="18"/>
              </w:rPr>
              <w:t>IRAP SULLE COMPETENZE ACCESSORIE</w:t>
            </w:r>
          </w:p>
        </w:tc>
      </w:tr>
    </w:tbl>
    <w:p w:rsidR="00A47796" w:rsidRDefault="00A47796">
      <w:pPr>
        <w:pStyle w:val="Standard"/>
        <w:jc w:val="both"/>
        <w:rPr>
          <w:rFonts w:ascii="Calibri" w:hAnsi="Calibri"/>
          <w:sz w:val="22"/>
          <w:szCs w:val="22"/>
        </w:rPr>
      </w:pPr>
    </w:p>
    <w:p w:rsidR="00A47796" w:rsidRDefault="00A47796">
      <w:pPr>
        <w:pStyle w:val="Standard"/>
        <w:rPr>
          <w:rFonts w:ascii="Calibri" w:hAnsi="Calibri"/>
          <w:sz w:val="22"/>
          <w:szCs w:val="22"/>
        </w:rPr>
      </w:pPr>
    </w:p>
    <w:p w:rsidR="00380FBE" w:rsidRPr="004F41D4" w:rsidRDefault="004F41D4" w:rsidP="004F41D4">
      <w:pPr>
        <w:pStyle w:val="Standard"/>
        <w:ind w:left="142"/>
        <w:rPr>
          <w:rFonts w:asciiTheme="minorHAnsi" w:hAnsiTheme="minorHAnsi"/>
          <w:color w:val="000000"/>
          <w:sz w:val="18"/>
          <w:szCs w:val="18"/>
        </w:rPr>
      </w:pPr>
      <w:r w:rsidRPr="004F41D4">
        <w:rPr>
          <w:rFonts w:asciiTheme="minorHAnsi" w:hAnsiTheme="minorHAnsi"/>
          <w:color w:val="000000"/>
          <w:sz w:val="18"/>
          <w:szCs w:val="18"/>
        </w:rPr>
        <w:t>Roma, 15 novembre 2018</w:t>
      </w:r>
    </w:p>
    <w:p w:rsidR="00A47796" w:rsidRDefault="0057338B">
      <w:pPr>
        <w:pStyle w:val="Standard"/>
        <w:ind w:left="7200"/>
        <w:jc w:val="center"/>
      </w:pPr>
      <w:r>
        <w:rPr>
          <w:rFonts w:ascii="Calibri" w:hAnsi="Calibri"/>
          <w:sz w:val="22"/>
          <w:szCs w:val="22"/>
        </w:rPr>
        <w:t>IL CAPO DIPARTIMENTO</w:t>
      </w:r>
    </w:p>
    <w:p w:rsidR="00A47796" w:rsidRDefault="0057338B">
      <w:pPr>
        <w:pStyle w:val="Standard"/>
        <w:ind w:left="7200"/>
        <w:jc w:val="center"/>
      </w:pPr>
      <w:r>
        <w:rPr>
          <w:rFonts w:ascii="Calibri" w:hAnsi="Calibri"/>
          <w:i/>
          <w:sz w:val="22"/>
          <w:szCs w:val="22"/>
        </w:rPr>
        <w:t xml:space="preserve">Prof. Giuseppe </w:t>
      </w:r>
      <w:proofErr w:type="spellStart"/>
      <w:r>
        <w:rPr>
          <w:rFonts w:ascii="Calibri" w:hAnsi="Calibri"/>
          <w:i/>
          <w:sz w:val="22"/>
          <w:szCs w:val="22"/>
        </w:rPr>
        <w:t>Valditara</w:t>
      </w:r>
      <w:proofErr w:type="spellEnd"/>
    </w:p>
    <w:sectPr w:rsidR="00A47796">
      <w:headerReference w:type="even" r:id="rId8"/>
      <w:headerReference w:type="default" r:id="rId9"/>
      <w:footerReference w:type="even" r:id="rId10"/>
      <w:footerReference w:type="default" r:id="rId11"/>
      <w:headerReference w:type="first" r:id="rId12"/>
      <w:footerReference w:type="first" r:id="rId13"/>
      <w:pgSz w:w="11906" w:h="16838"/>
      <w:pgMar w:top="567" w:right="720" w:bottom="720" w:left="720" w:header="153" w:footer="5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5493" w:rsidRDefault="0057338B">
      <w:r>
        <w:separator/>
      </w:r>
    </w:p>
  </w:endnote>
  <w:endnote w:type="continuationSeparator" w:id="0">
    <w:p w:rsidR="006B5493" w:rsidRDefault="00573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English111 Adagio BT">
    <w:panose1 w:val="03030602030607080B05"/>
    <w:charset w:val="00"/>
    <w:family w:val="script"/>
    <w:pitch w:val="variable"/>
    <w:sig w:usb0="00000087" w:usb1="00000000" w:usb2="00000000" w:usb3="00000000" w:csb0="0000001B" w:csb1="00000000"/>
  </w:font>
  <w:font w:name="Arial">
    <w:panose1 w:val="020B0604020202020204"/>
    <w:charset w:val="00"/>
    <w:family w:val="swiss"/>
    <w:pitch w:val="variable"/>
    <w:sig w:usb0="20002A87" w:usb1="00000000" w:usb2="00000000" w:usb3="00000000" w:csb0="000001FF" w:csb1="00000000"/>
  </w:font>
  <w:font w:name="Microsoft YaHei">
    <w:panose1 w:val="020B0503020204020204"/>
    <w:charset w:val="86"/>
    <w:family w:val="swiss"/>
    <w:pitch w:val="variable"/>
    <w:sig w:usb0="80000287" w:usb1="280F3C52"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Kunstler Script">
    <w:panose1 w:val="030304020206070D0D06"/>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1D4" w:rsidRDefault="004F41D4">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4E7A" w:rsidRDefault="00A9411C">
    <w:pPr>
      <w:pStyle w:val="Intestazione"/>
      <w:pBdr>
        <w:top w:val="single" w:sz="4" w:space="1" w:color="00000A"/>
      </w:pBdr>
      <w:jc w:val="right"/>
      <w:rPr>
        <w:i/>
        <w:sz w:val="18"/>
        <w:u w:val="single"/>
      </w:rPr>
    </w:pPr>
  </w:p>
  <w:p w:rsidR="00FE4E7A" w:rsidRDefault="00A9411C">
    <w:pPr>
      <w:pStyle w:val="Pidipagin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4E7A" w:rsidRDefault="0057338B">
    <w:pPr>
      <w:pStyle w:val="Intestazione"/>
      <w:pBdr>
        <w:top w:val="single" w:sz="4" w:space="1" w:color="00000A"/>
      </w:pBdr>
      <w:jc w:val="right"/>
    </w:pPr>
    <w:r>
      <w:rPr>
        <w:i/>
        <w:sz w:val="18"/>
        <w:u w:val="single"/>
      </w:rPr>
      <w:t>Reazione tecnico-finanziaria al CCI 15 novembre 2016 – n° 2/2016</w:t>
    </w:r>
  </w:p>
  <w:p w:rsidR="00FE4E7A" w:rsidRDefault="00A9411C">
    <w:pPr>
      <w:pStyle w:val="Pidipagina"/>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5493" w:rsidRDefault="0057338B">
      <w:r>
        <w:rPr>
          <w:color w:val="000000"/>
        </w:rPr>
        <w:separator/>
      </w:r>
    </w:p>
  </w:footnote>
  <w:footnote w:type="continuationSeparator" w:id="0">
    <w:p w:rsidR="006B5493" w:rsidRDefault="005733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1D4" w:rsidRDefault="004F41D4">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4E7A" w:rsidRDefault="0057338B">
    <w:pPr>
      <w:pStyle w:val="Titolo1"/>
    </w:pPr>
    <w:r>
      <w:rPr>
        <w:noProof/>
      </w:rPr>
      <w:drawing>
        <wp:inline distT="0" distB="0" distL="0" distR="0" wp14:anchorId="4199A59A" wp14:editId="3E72CA8E">
          <wp:extent cx="723240" cy="723240"/>
          <wp:effectExtent l="0" t="0" r="660" b="660"/>
          <wp:docPr id="4" name="Immagin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723240" cy="723240"/>
                  </a:xfrm>
                  <a:prstGeom prst="rect">
                    <a:avLst/>
                  </a:prstGeom>
                  <a:ln>
                    <a:noFill/>
                    <a:prstDash/>
                  </a:ln>
                </pic:spPr>
              </pic:pic>
            </a:graphicData>
          </a:graphic>
        </wp:inline>
      </w:drawing>
    </w:r>
    <w:r>
      <w:rPr>
        <w:rFonts w:ascii="Kunstler Script" w:hAnsi="Kunstler Script"/>
        <w:b/>
        <w:i/>
        <w:color w:val="000000"/>
        <w:sz w:val="64"/>
        <w:szCs w:val="64"/>
      </w:rPr>
      <w:t>Ministero dell’Istruzione, dell’Università e della Ricerca</w:t>
    </w:r>
  </w:p>
  <w:p w:rsidR="00FE4E7A" w:rsidRDefault="0057338B">
    <w:pPr>
      <w:pStyle w:val="Standard"/>
      <w:jc w:val="center"/>
    </w:pPr>
    <w:r>
      <w:rPr>
        <w:i/>
        <w:iCs/>
        <w:color w:val="000000"/>
      </w:rPr>
      <w:t>Dipartimento per la Formazione Superiore e per la Ricerca</w:t>
    </w:r>
  </w:p>
  <w:p w:rsidR="00FE4E7A" w:rsidRDefault="00A9411C">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4E7A" w:rsidRDefault="0057338B">
    <w:pPr>
      <w:pStyle w:val="Titolo1"/>
    </w:pPr>
    <w:r>
      <w:rPr>
        <w:noProof/>
      </w:rPr>
      <w:drawing>
        <wp:inline distT="0" distB="0" distL="0" distR="0" wp14:anchorId="5DA706C7" wp14:editId="6BBBEA2B">
          <wp:extent cx="723240" cy="723240"/>
          <wp:effectExtent l="0" t="0" r="660" b="660"/>
          <wp:docPr id="5" name="Immagin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723240" cy="723240"/>
                  </a:xfrm>
                  <a:prstGeom prst="rect">
                    <a:avLst/>
                  </a:prstGeom>
                  <a:ln>
                    <a:noFill/>
                    <a:prstDash/>
                  </a:ln>
                </pic:spPr>
              </pic:pic>
            </a:graphicData>
          </a:graphic>
        </wp:inline>
      </w:drawing>
    </w:r>
  </w:p>
  <w:p w:rsidR="00FE4E7A" w:rsidRDefault="0057338B">
    <w:pPr>
      <w:pStyle w:val="Titolo1"/>
    </w:pPr>
    <w:r>
      <w:rPr>
        <w:rFonts w:ascii="Kunstler Script" w:hAnsi="Kunstler Script"/>
        <w:b/>
        <w:i/>
        <w:color w:val="000000"/>
        <w:sz w:val="64"/>
        <w:szCs w:val="64"/>
      </w:rPr>
      <w:t>Ministero dell’Istruzione, dell’Università e della Ricerca</w:t>
    </w:r>
  </w:p>
  <w:p w:rsidR="00FE4E7A" w:rsidRDefault="0057338B">
    <w:pPr>
      <w:pStyle w:val="Standard"/>
      <w:jc w:val="center"/>
    </w:pPr>
    <w:r>
      <w:rPr>
        <w:i/>
        <w:iCs/>
        <w:color w:val="000000"/>
      </w:rPr>
      <w:t>Dipartimento per la Formazione Superiore e per la Ricerca</w:t>
    </w:r>
  </w:p>
  <w:p w:rsidR="00FE4E7A" w:rsidRDefault="00A9411C">
    <w:pPr>
      <w:pStyle w:val="Standard"/>
      <w:rPr>
        <w:color w:val="000000"/>
        <w:sz w:val="8"/>
        <w:szCs w:val="8"/>
      </w:rPr>
    </w:pPr>
  </w:p>
  <w:p w:rsidR="00FE4E7A" w:rsidRDefault="00A9411C">
    <w:pPr>
      <w:pStyle w:val="Standar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4114BA"/>
    <w:multiLevelType w:val="multilevel"/>
    <w:tmpl w:val="CD62CF6A"/>
    <w:styleLink w:val="WWNum6"/>
    <w:lvl w:ilvl="0">
      <w:start w:val="1"/>
      <w:numFmt w:val="decimal"/>
      <w:lvlText w:val="%1."/>
      <w:lvlJc w:val="left"/>
      <w:rPr>
        <w:b/>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
    <w:nsid w:val="11116605"/>
    <w:multiLevelType w:val="multilevel"/>
    <w:tmpl w:val="3FA2AB48"/>
    <w:styleLink w:val="WWNum1"/>
    <w:lvl w:ilvl="0">
      <w:start w:val="1"/>
      <w:numFmt w:val="lowerLetter"/>
      <w:lvlText w:val="%1)"/>
      <w:lvlJc w:val="left"/>
      <w:rPr>
        <w:rFonts w:eastAsia="Times New Roman" w:cs="Times New Roman"/>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
    <w:nsid w:val="13321BC5"/>
    <w:multiLevelType w:val="multilevel"/>
    <w:tmpl w:val="3250AF78"/>
    <w:styleLink w:val="WWNum4"/>
    <w:lvl w:ilvl="0">
      <w:start w:val="1"/>
      <w:numFmt w:val="decimal"/>
      <w:lvlText w:val="%1."/>
      <w:lvlJc w:val="left"/>
      <w:rPr>
        <w:b/>
      </w:rPr>
    </w:lvl>
    <w:lvl w:ilvl="1">
      <w:start w:val="1"/>
      <w:numFmt w:val="lowerLetter"/>
      <w:lvlText w:val="%2)"/>
      <w:lvlJc w:val="left"/>
      <w:rPr>
        <w:b w:val="0"/>
        <w:i w:val="0"/>
      </w:rPr>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
    <w:nsid w:val="21B843DE"/>
    <w:multiLevelType w:val="multilevel"/>
    <w:tmpl w:val="96FE2EF0"/>
    <w:styleLink w:val="WWNum5"/>
    <w:lvl w:ilvl="0">
      <w:start w:val="1"/>
      <w:numFmt w:val="decimal"/>
      <w:lvlText w:val="%1."/>
      <w:lvlJc w:val="left"/>
      <w:rPr>
        <w:rFonts w:cs="Tahoma"/>
        <w:b/>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
    <w:nsid w:val="2B23188A"/>
    <w:multiLevelType w:val="multilevel"/>
    <w:tmpl w:val="4384AD60"/>
    <w:styleLink w:val="WWNum2"/>
    <w:lvl w:ilvl="0">
      <w:start w:val="1"/>
      <w:numFmt w:val="decimal"/>
      <w:lvlText w:val="%1."/>
      <w:lvlJc w:val="left"/>
      <w:rPr>
        <w:b/>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
    <w:nsid w:val="2F7F5713"/>
    <w:multiLevelType w:val="multilevel"/>
    <w:tmpl w:val="532C55BE"/>
    <w:styleLink w:val="WWNum11"/>
    <w:lvl w:ilvl="0">
      <w:start w:val="1"/>
      <w:numFmt w:val="upperRoman"/>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
    <w:nsid w:val="34BD71BB"/>
    <w:multiLevelType w:val="multilevel"/>
    <w:tmpl w:val="B4DCDF16"/>
    <w:styleLink w:val="WWNum9"/>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
    <w:nsid w:val="36E951D7"/>
    <w:multiLevelType w:val="multilevel"/>
    <w:tmpl w:val="F796E806"/>
    <w:styleLink w:val="WWNum14"/>
    <w:lvl w:ilvl="0">
      <w:start w:val="1"/>
      <w:numFmt w:val="decimal"/>
      <w:lvlText w:val="%1."/>
      <w:lvlJc w:val="left"/>
      <w:rPr>
        <w:b/>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
    <w:nsid w:val="49F33C47"/>
    <w:multiLevelType w:val="multilevel"/>
    <w:tmpl w:val="442A966A"/>
    <w:styleLink w:val="WWNum7"/>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
    <w:nsid w:val="69164BC2"/>
    <w:multiLevelType w:val="multilevel"/>
    <w:tmpl w:val="0EEA6BCE"/>
    <w:styleLink w:val="WWNum10"/>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
    <w:nsid w:val="6FAF6BB4"/>
    <w:multiLevelType w:val="multilevel"/>
    <w:tmpl w:val="70166272"/>
    <w:styleLink w:val="WWNum3"/>
    <w:lvl w:ilvl="0">
      <w:start w:val="1"/>
      <w:numFmt w:val="decimal"/>
      <w:lvlText w:val="%1."/>
      <w:lvlJc w:val="left"/>
      <w:rPr>
        <w:b/>
        <w:i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1">
    <w:nsid w:val="75D12413"/>
    <w:multiLevelType w:val="multilevel"/>
    <w:tmpl w:val="39DC2504"/>
    <w:styleLink w:val="WWNum8"/>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2">
    <w:nsid w:val="77246A55"/>
    <w:multiLevelType w:val="multilevel"/>
    <w:tmpl w:val="0D82774C"/>
    <w:styleLink w:val="WWNum12"/>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3">
    <w:nsid w:val="7E7C235B"/>
    <w:multiLevelType w:val="multilevel"/>
    <w:tmpl w:val="4BDC8C72"/>
    <w:styleLink w:val="WWNum13"/>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num w:numId="1">
    <w:abstractNumId w:val="1"/>
  </w:num>
  <w:num w:numId="2">
    <w:abstractNumId w:val="4"/>
  </w:num>
  <w:num w:numId="3">
    <w:abstractNumId w:val="10"/>
  </w:num>
  <w:num w:numId="4">
    <w:abstractNumId w:val="2"/>
  </w:num>
  <w:num w:numId="5">
    <w:abstractNumId w:val="3"/>
  </w:num>
  <w:num w:numId="6">
    <w:abstractNumId w:val="0"/>
  </w:num>
  <w:num w:numId="7">
    <w:abstractNumId w:val="8"/>
  </w:num>
  <w:num w:numId="8">
    <w:abstractNumId w:val="11"/>
  </w:num>
  <w:num w:numId="9">
    <w:abstractNumId w:val="6"/>
  </w:num>
  <w:num w:numId="10">
    <w:abstractNumId w:val="9"/>
  </w:num>
  <w:num w:numId="11">
    <w:abstractNumId w:val="5"/>
  </w:num>
  <w:num w:numId="12">
    <w:abstractNumId w:val="12"/>
  </w:num>
  <w:num w:numId="13">
    <w:abstractNumId w:val="13"/>
  </w:num>
  <w:num w:numId="14">
    <w:abstractNumId w:val="7"/>
  </w:num>
  <w:num w:numId="15">
    <w:abstractNumId w:val="8"/>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9"/>
  <w:autoHyphenation/>
  <w:hyphenationZone w:val="283"/>
  <w:characterSpacingControl w:val="doNotCompress"/>
  <w:footnotePr>
    <w:footnote w:id="-1"/>
    <w:footnote w:id="0"/>
  </w:footnotePr>
  <w:endnotePr>
    <w:endnote w:id="-1"/>
    <w:endnote w:id="0"/>
  </w:endnotePr>
  <w:compat>
    <w:compatSetting w:name="compatibilityMode" w:uri="http://schemas.microsoft.com/office/word" w:val="14"/>
  </w:compat>
  <w:rsids>
    <w:rsidRoot w:val="00A47796"/>
    <w:rsid w:val="00106E2B"/>
    <w:rsid w:val="00380FBE"/>
    <w:rsid w:val="004F41D4"/>
    <w:rsid w:val="00530862"/>
    <w:rsid w:val="0057338B"/>
    <w:rsid w:val="006B5493"/>
    <w:rsid w:val="00961B37"/>
    <w:rsid w:val="00A47796"/>
    <w:rsid w:val="00A65F8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kern w:val="3"/>
        <w:lang w:val="it-IT" w:eastAsia="it-IT" w:bidi="ar-SA"/>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Standard"/>
    <w:next w:val="Textbody"/>
    <w:pPr>
      <w:keepNext/>
      <w:jc w:val="center"/>
      <w:outlineLvl w:val="0"/>
    </w:pPr>
    <w:rPr>
      <w:rFonts w:ascii="English111 Adagio BT" w:hAnsi="English111 Adagio BT"/>
      <w:sz w:val="36"/>
    </w:rPr>
  </w:style>
  <w:style w:type="paragraph" w:styleId="Titolo2">
    <w:name w:val="heading 2"/>
    <w:basedOn w:val="Standard"/>
    <w:next w:val="Textbody"/>
    <w:pPr>
      <w:keepNext/>
      <w:ind w:left="-567" w:right="-567"/>
      <w:jc w:val="center"/>
      <w:outlineLvl w:val="1"/>
    </w:pPr>
    <w:rPr>
      <w:rFonts w:ascii="English111 Adagio BT" w:hAnsi="English111 Adagio BT"/>
      <w:b/>
      <w:sz w:val="44"/>
    </w:rPr>
  </w:style>
  <w:style w:type="paragraph" w:styleId="Titolo3">
    <w:name w:val="heading 3"/>
    <w:basedOn w:val="Standard"/>
    <w:next w:val="Textbody"/>
    <w:pPr>
      <w:ind w:left="-567" w:right="-567"/>
      <w:jc w:val="center"/>
      <w:outlineLvl w:val="2"/>
    </w:pPr>
    <w:rPr>
      <w:rFonts w:ascii="English111 Adagio BT" w:hAnsi="English111 Adagio BT"/>
      <w:sz w:val="32"/>
    </w:rPr>
  </w:style>
  <w:style w:type="paragraph" w:styleId="Titolo4">
    <w:name w:val="heading 4"/>
    <w:basedOn w:val="Standard"/>
    <w:next w:val="Textbody"/>
    <w:pPr>
      <w:keepNext/>
      <w:tabs>
        <w:tab w:val="center" w:pos="7371"/>
      </w:tabs>
      <w:jc w:val="both"/>
      <w:outlineLvl w:val="3"/>
    </w:pPr>
    <w:rPr>
      <w:sz w:val="24"/>
    </w:rPr>
  </w:style>
  <w:style w:type="paragraph" w:styleId="Titolo5">
    <w:name w:val="heading 5"/>
    <w:basedOn w:val="Standard"/>
    <w:next w:val="Textbody"/>
    <w:pPr>
      <w:keepNext/>
      <w:jc w:val="both"/>
      <w:outlineLvl w:val="4"/>
    </w:pPr>
    <w:rPr>
      <w:sz w:val="28"/>
      <w:szCs w:val="28"/>
    </w:rPr>
  </w:style>
  <w:style w:type="paragraph" w:styleId="Titolo6">
    <w:name w:val="heading 6"/>
    <w:basedOn w:val="Standard"/>
    <w:next w:val="Textbody"/>
    <w:pPr>
      <w:keepNext/>
      <w:jc w:val="right"/>
      <w:outlineLvl w:val="5"/>
    </w:pPr>
    <w:rPr>
      <w:sz w:val="28"/>
      <w:szCs w:val="28"/>
    </w:rPr>
  </w:style>
  <w:style w:type="paragraph" w:styleId="Titolo7">
    <w:name w:val="heading 7"/>
    <w:basedOn w:val="Standard"/>
    <w:next w:val="Textbody"/>
    <w:pPr>
      <w:keepNext/>
      <w:jc w:val="both"/>
      <w:outlineLvl w:val="6"/>
    </w:pPr>
    <w:rPr>
      <w:sz w:val="24"/>
      <w:szCs w:val="28"/>
      <w:u w:val="single"/>
    </w:rPr>
  </w:style>
  <w:style w:type="paragraph" w:styleId="Titolo8">
    <w:name w:val="heading 8"/>
    <w:basedOn w:val="Standard"/>
    <w:next w:val="Textbody"/>
    <w:pPr>
      <w:keepNext/>
      <w:ind w:firstLine="1134"/>
      <w:jc w:val="both"/>
      <w:outlineLvl w:val="7"/>
    </w:pPr>
    <w:rPr>
      <w:iCs/>
      <w:sz w:val="24"/>
    </w:rPr>
  </w:style>
  <w:style w:type="paragraph" w:styleId="Titolo9">
    <w:name w:val="heading 9"/>
    <w:basedOn w:val="Standard"/>
    <w:next w:val="Textbody"/>
    <w:pPr>
      <w:keepNext/>
      <w:outlineLvl w:val="8"/>
    </w:pPr>
    <w:rPr>
      <w:sz w:val="24"/>
      <w:szCs w:val="28"/>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Arial" w:eastAsia="Microsoft YaHei" w:hAnsi="Arial" w:cs="Arial Unicode MS"/>
      <w:sz w:val="28"/>
      <w:szCs w:val="28"/>
    </w:rPr>
  </w:style>
  <w:style w:type="paragraph" w:customStyle="1" w:styleId="Textbody">
    <w:name w:val="Text body"/>
    <w:basedOn w:val="Standard"/>
    <w:pPr>
      <w:jc w:val="both"/>
    </w:pPr>
    <w:rPr>
      <w:sz w:val="24"/>
    </w:rPr>
  </w:style>
  <w:style w:type="paragraph" w:styleId="Elenco">
    <w:name w:val="List"/>
    <w:basedOn w:val="Textbody"/>
    <w:rPr>
      <w:rFonts w:cs="Arial Unicode MS"/>
    </w:rPr>
  </w:style>
  <w:style w:type="paragraph" w:styleId="Didascalia">
    <w:name w:val="caption"/>
    <w:basedOn w:val="Standard"/>
    <w:pPr>
      <w:ind w:left="-567" w:right="-567"/>
      <w:jc w:val="center"/>
    </w:pPr>
    <w:rPr>
      <w:rFonts w:ascii="English111 Adagio BT" w:hAnsi="English111 Adagio BT"/>
      <w:b/>
      <w:sz w:val="44"/>
    </w:rPr>
  </w:style>
  <w:style w:type="paragraph" w:customStyle="1" w:styleId="Index">
    <w:name w:val="Index"/>
    <w:basedOn w:val="Standard"/>
    <w:pPr>
      <w:suppressLineNumbers/>
    </w:pPr>
    <w:rPr>
      <w:rFonts w:cs="Arial Unicode MS"/>
    </w:rPr>
  </w:style>
  <w:style w:type="paragraph" w:styleId="Intestazione">
    <w:name w:val="header"/>
    <w:basedOn w:val="Standard"/>
    <w:pPr>
      <w:suppressLineNumbers/>
      <w:tabs>
        <w:tab w:val="center" w:pos="4819"/>
        <w:tab w:val="right" w:pos="9638"/>
      </w:tabs>
    </w:pPr>
  </w:style>
  <w:style w:type="paragraph" w:styleId="Pidipagina">
    <w:name w:val="footer"/>
    <w:basedOn w:val="Standard"/>
    <w:pPr>
      <w:suppressLineNumbers/>
      <w:tabs>
        <w:tab w:val="center" w:pos="4819"/>
        <w:tab w:val="right" w:pos="9638"/>
      </w:tabs>
    </w:pPr>
  </w:style>
  <w:style w:type="paragraph" w:customStyle="1" w:styleId="Textbodyindent">
    <w:name w:val="Text body indent"/>
    <w:basedOn w:val="Standard"/>
    <w:pPr>
      <w:ind w:left="283" w:firstLine="1134"/>
      <w:jc w:val="both"/>
    </w:pPr>
    <w:rPr>
      <w:sz w:val="24"/>
    </w:rPr>
  </w:style>
  <w:style w:type="paragraph" w:styleId="Rientrocorpodeltesto2">
    <w:name w:val="Body Text Indent 2"/>
    <w:basedOn w:val="Standard"/>
    <w:pPr>
      <w:ind w:left="5245"/>
    </w:pPr>
    <w:rPr>
      <w:sz w:val="24"/>
      <w:szCs w:val="28"/>
    </w:rPr>
  </w:style>
  <w:style w:type="paragraph" w:styleId="Testonotaapidipagina">
    <w:name w:val="footnote text"/>
    <w:basedOn w:val="Standard"/>
  </w:style>
  <w:style w:type="paragraph" w:styleId="Titolo">
    <w:name w:val="Title"/>
    <w:basedOn w:val="Standard"/>
    <w:next w:val="Sottotitolo"/>
    <w:pPr>
      <w:spacing w:before="240" w:after="60"/>
      <w:jc w:val="center"/>
      <w:outlineLvl w:val="0"/>
    </w:pPr>
    <w:rPr>
      <w:rFonts w:ascii="Arial" w:hAnsi="Arial" w:cs="Arial"/>
      <w:b/>
      <w:bCs/>
      <w:sz w:val="32"/>
      <w:szCs w:val="32"/>
    </w:rPr>
  </w:style>
  <w:style w:type="paragraph" w:styleId="Sottotitolo">
    <w:name w:val="Subtitle"/>
    <w:basedOn w:val="Standard"/>
    <w:next w:val="Textbody"/>
    <w:pPr>
      <w:spacing w:after="60"/>
      <w:jc w:val="center"/>
      <w:outlineLvl w:val="1"/>
    </w:pPr>
    <w:rPr>
      <w:rFonts w:ascii="Arial" w:hAnsi="Arial" w:cs="Arial"/>
      <w:i/>
      <w:iCs/>
      <w:sz w:val="24"/>
      <w:szCs w:val="24"/>
    </w:rPr>
  </w:style>
  <w:style w:type="paragraph" w:styleId="Rientrocorpodeltesto3">
    <w:name w:val="Body Text Indent 3"/>
    <w:basedOn w:val="Standard"/>
    <w:pPr>
      <w:ind w:firstLine="1134"/>
      <w:jc w:val="both"/>
    </w:pPr>
    <w:rPr>
      <w:sz w:val="28"/>
    </w:rPr>
  </w:style>
  <w:style w:type="paragraph" w:styleId="Testofumetto">
    <w:name w:val="Balloon Text"/>
    <w:basedOn w:val="Standard"/>
    <w:rPr>
      <w:rFonts w:ascii="Tahoma" w:hAnsi="Tahoma" w:cs="Tahoma"/>
      <w:sz w:val="16"/>
      <w:szCs w:val="16"/>
    </w:rPr>
  </w:style>
  <w:style w:type="paragraph" w:customStyle="1" w:styleId="Titoletto">
    <w:name w:val="Titoletto"/>
    <w:basedOn w:val="Standard"/>
    <w:pPr>
      <w:spacing w:after="120"/>
      <w:jc w:val="both"/>
    </w:pPr>
    <w:rPr>
      <w:rFonts w:ascii="Calibri" w:hAnsi="Calibri"/>
      <w:b/>
      <w:bCs/>
      <w:sz w:val="24"/>
      <w:szCs w:val="24"/>
    </w:rPr>
  </w:style>
  <w:style w:type="paragraph" w:customStyle="1" w:styleId="Framecontents">
    <w:name w:val="Frame contents"/>
    <w:basedOn w:val="Textbody"/>
  </w:style>
  <w:style w:type="character" w:styleId="Numeropagina">
    <w:name w:val="page number"/>
    <w:basedOn w:val="Carpredefinitoparagrafo"/>
  </w:style>
  <w:style w:type="character" w:styleId="Rimandonotaapidipagina">
    <w:name w:val="footnote reference"/>
    <w:basedOn w:val="Carpredefinitoparagrafo"/>
    <w:rPr>
      <w:position w:val="0"/>
      <w:vertAlign w:val="superscript"/>
    </w:rPr>
  </w:style>
  <w:style w:type="character" w:customStyle="1" w:styleId="TitolettoCarattere">
    <w:name w:val="Titoletto Carattere"/>
    <w:basedOn w:val="Carpredefinitoparagrafo"/>
    <w:rPr>
      <w:rFonts w:ascii="Calibri" w:hAnsi="Calibri"/>
      <w:b/>
      <w:bCs/>
      <w:sz w:val="24"/>
      <w:szCs w:val="24"/>
      <w:lang w:val="it-IT" w:eastAsia="it-IT" w:bidi="ar-SA"/>
    </w:rPr>
  </w:style>
  <w:style w:type="character" w:customStyle="1" w:styleId="StrongEmphasis">
    <w:name w:val="Strong Emphasis"/>
    <w:rPr>
      <w:b/>
      <w:bCs/>
      <w:i w:val="0"/>
      <w:iCs w:val="0"/>
    </w:rPr>
  </w:style>
  <w:style w:type="character" w:customStyle="1" w:styleId="ListLabel1">
    <w:name w:val="ListLabel 1"/>
    <w:rPr>
      <w:rFonts w:eastAsia="Times New Roman" w:cs="Times New Roman"/>
    </w:rPr>
  </w:style>
  <w:style w:type="character" w:customStyle="1" w:styleId="ListLabel2">
    <w:name w:val="ListLabel 2"/>
    <w:rPr>
      <w:b/>
    </w:rPr>
  </w:style>
  <w:style w:type="character" w:customStyle="1" w:styleId="ListLabel3">
    <w:name w:val="ListLabel 3"/>
    <w:rPr>
      <w:b/>
      <w:i w:val="0"/>
    </w:rPr>
  </w:style>
  <w:style w:type="character" w:customStyle="1" w:styleId="ListLabel4">
    <w:name w:val="ListLabel 4"/>
    <w:rPr>
      <w:b w:val="0"/>
      <w:i w:val="0"/>
    </w:rPr>
  </w:style>
  <w:style w:type="character" w:customStyle="1" w:styleId="ListLabel5">
    <w:name w:val="ListLabel 5"/>
    <w:rPr>
      <w:rFonts w:cs="Tahoma"/>
      <w:b/>
    </w:rPr>
  </w:style>
  <w:style w:type="numbering" w:customStyle="1" w:styleId="WWNum1">
    <w:name w:val="WWNum1"/>
    <w:basedOn w:val="Nessunelenco"/>
    <w:pPr>
      <w:numPr>
        <w:numId w:val="1"/>
      </w:numPr>
    </w:pPr>
  </w:style>
  <w:style w:type="numbering" w:customStyle="1" w:styleId="WWNum2">
    <w:name w:val="WWNum2"/>
    <w:basedOn w:val="Nessunelenco"/>
    <w:pPr>
      <w:numPr>
        <w:numId w:val="2"/>
      </w:numPr>
    </w:pPr>
  </w:style>
  <w:style w:type="numbering" w:customStyle="1" w:styleId="WWNum3">
    <w:name w:val="WWNum3"/>
    <w:basedOn w:val="Nessunelenco"/>
    <w:pPr>
      <w:numPr>
        <w:numId w:val="3"/>
      </w:numPr>
    </w:pPr>
  </w:style>
  <w:style w:type="numbering" w:customStyle="1" w:styleId="WWNum4">
    <w:name w:val="WWNum4"/>
    <w:basedOn w:val="Nessunelenco"/>
    <w:pPr>
      <w:numPr>
        <w:numId w:val="4"/>
      </w:numPr>
    </w:pPr>
  </w:style>
  <w:style w:type="numbering" w:customStyle="1" w:styleId="WWNum5">
    <w:name w:val="WWNum5"/>
    <w:basedOn w:val="Nessunelenco"/>
    <w:pPr>
      <w:numPr>
        <w:numId w:val="5"/>
      </w:numPr>
    </w:pPr>
  </w:style>
  <w:style w:type="numbering" w:customStyle="1" w:styleId="WWNum6">
    <w:name w:val="WWNum6"/>
    <w:basedOn w:val="Nessunelenco"/>
    <w:pPr>
      <w:numPr>
        <w:numId w:val="6"/>
      </w:numPr>
    </w:pPr>
  </w:style>
  <w:style w:type="numbering" w:customStyle="1" w:styleId="WWNum7">
    <w:name w:val="WWNum7"/>
    <w:basedOn w:val="Nessunelenco"/>
    <w:pPr>
      <w:numPr>
        <w:numId w:val="7"/>
      </w:numPr>
    </w:pPr>
  </w:style>
  <w:style w:type="numbering" w:customStyle="1" w:styleId="WWNum8">
    <w:name w:val="WWNum8"/>
    <w:basedOn w:val="Nessunelenco"/>
    <w:pPr>
      <w:numPr>
        <w:numId w:val="8"/>
      </w:numPr>
    </w:pPr>
  </w:style>
  <w:style w:type="numbering" w:customStyle="1" w:styleId="WWNum9">
    <w:name w:val="WWNum9"/>
    <w:basedOn w:val="Nessunelenco"/>
    <w:pPr>
      <w:numPr>
        <w:numId w:val="9"/>
      </w:numPr>
    </w:pPr>
  </w:style>
  <w:style w:type="numbering" w:customStyle="1" w:styleId="WWNum10">
    <w:name w:val="WWNum10"/>
    <w:basedOn w:val="Nessunelenco"/>
    <w:pPr>
      <w:numPr>
        <w:numId w:val="10"/>
      </w:numPr>
    </w:pPr>
  </w:style>
  <w:style w:type="numbering" w:customStyle="1" w:styleId="WWNum11">
    <w:name w:val="WWNum11"/>
    <w:basedOn w:val="Nessunelenco"/>
    <w:pPr>
      <w:numPr>
        <w:numId w:val="11"/>
      </w:numPr>
    </w:pPr>
  </w:style>
  <w:style w:type="numbering" w:customStyle="1" w:styleId="WWNum12">
    <w:name w:val="WWNum12"/>
    <w:basedOn w:val="Nessunelenco"/>
    <w:pPr>
      <w:numPr>
        <w:numId w:val="12"/>
      </w:numPr>
    </w:pPr>
  </w:style>
  <w:style w:type="numbering" w:customStyle="1" w:styleId="WWNum13">
    <w:name w:val="WWNum13"/>
    <w:basedOn w:val="Nessunelenco"/>
    <w:pPr>
      <w:numPr>
        <w:numId w:val="13"/>
      </w:numPr>
    </w:pPr>
  </w:style>
  <w:style w:type="numbering" w:customStyle="1" w:styleId="WWNum14">
    <w:name w:val="WWNum14"/>
    <w:basedOn w:val="Nessunelenco"/>
    <w:pPr>
      <w:numPr>
        <w:numId w:val="14"/>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kern w:val="3"/>
        <w:lang w:val="it-IT" w:eastAsia="it-IT" w:bidi="ar-SA"/>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Standard"/>
    <w:next w:val="Textbody"/>
    <w:pPr>
      <w:keepNext/>
      <w:jc w:val="center"/>
      <w:outlineLvl w:val="0"/>
    </w:pPr>
    <w:rPr>
      <w:rFonts w:ascii="English111 Adagio BT" w:hAnsi="English111 Adagio BT"/>
      <w:sz w:val="36"/>
    </w:rPr>
  </w:style>
  <w:style w:type="paragraph" w:styleId="Titolo2">
    <w:name w:val="heading 2"/>
    <w:basedOn w:val="Standard"/>
    <w:next w:val="Textbody"/>
    <w:pPr>
      <w:keepNext/>
      <w:ind w:left="-567" w:right="-567"/>
      <w:jc w:val="center"/>
      <w:outlineLvl w:val="1"/>
    </w:pPr>
    <w:rPr>
      <w:rFonts w:ascii="English111 Adagio BT" w:hAnsi="English111 Adagio BT"/>
      <w:b/>
      <w:sz w:val="44"/>
    </w:rPr>
  </w:style>
  <w:style w:type="paragraph" w:styleId="Titolo3">
    <w:name w:val="heading 3"/>
    <w:basedOn w:val="Standard"/>
    <w:next w:val="Textbody"/>
    <w:pPr>
      <w:ind w:left="-567" w:right="-567"/>
      <w:jc w:val="center"/>
      <w:outlineLvl w:val="2"/>
    </w:pPr>
    <w:rPr>
      <w:rFonts w:ascii="English111 Adagio BT" w:hAnsi="English111 Adagio BT"/>
      <w:sz w:val="32"/>
    </w:rPr>
  </w:style>
  <w:style w:type="paragraph" w:styleId="Titolo4">
    <w:name w:val="heading 4"/>
    <w:basedOn w:val="Standard"/>
    <w:next w:val="Textbody"/>
    <w:pPr>
      <w:keepNext/>
      <w:tabs>
        <w:tab w:val="center" w:pos="7371"/>
      </w:tabs>
      <w:jc w:val="both"/>
      <w:outlineLvl w:val="3"/>
    </w:pPr>
    <w:rPr>
      <w:sz w:val="24"/>
    </w:rPr>
  </w:style>
  <w:style w:type="paragraph" w:styleId="Titolo5">
    <w:name w:val="heading 5"/>
    <w:basedOn w:val="Standard"/>
    <w:next w:val="Textbody"/>
    <w:pPr>
      <w:keepNext/>
      <w:jc w:val="both"/>
      <w:outlineLvl w:val="4"/>
    </w:pPr>
    <w:rPr>
      <w:sz w:val="28"/>
      <w:szCs w:val="28"/>
    </w:rPr>
  </w:style>
  <w:style w:type="paragraph" w:styleId="Titolo6">
    <w:name w:val="heading 6"/>
    <w:basedOn w:val="Standard"/>
    <w:next w:val="Textbody"/>
    <w:pPr>
      <w:keepNext/>
      <w:jc w:val="right"/>
      <w:outlineLvl w:val="5"/>
    </w:pPr>
    <w:rPr>
      <w:sz w:val="28"/>
      <w:szCs w:val="28"/>
    </w:rPr>
  </w:style>
  <w:style w:type="paragraph" w:styleId="Titolo7">
    <w:name w:val="heading 7"/>
    <w:basedOn w:val="Standard"/>
    <w:next w:val="Textbody"/>
    <w:pPr>
      <w:keepNext/>
      <w:jc w:val="both"/>
      <w:outlineLvl w:val="6"/>
    </w:pPr>
    <w:rPr>
      <w:sz w:val="24"/>
      <w:szCs w:val="28"/>
      <w:u w:val="single"/>
    </w:rPr>
  </w:style>
  <w:style w:type="paragraph" w:styleId="Titolo8">
    <w:name w:val="heading 8"/>
    <w:basedOn w:val="Standard"/>
    <w:next w:val="Textbody"/>
    <w:pPr>
      <w:keepNext/>
      <w:ind w:firstLine="1134"/>
      <w:jc w:val="both"/>
      <w:outlineLvl w:val="7"/>
    </w:pPr>
    <w:rPr>
      <w:iCs/>
      <w:sz w:val="24"/>
    </w:rPr>
  </w:style>
  <w:style w:type="paragraph" w:styleId="Titolo9">
    <w:name w:val="heading 9"/>
    <w:basedOn w:val="Standard"/>
    <w:next w:val="Textbody"/>
    <w:pPr>
      <w:keepNext/>
      <w:outlineLvl w:val="8"/>
    </w:pPr>
    <w:rPr>
      <w:sz w:val="24"/>
      <w:szCs w:val="28"/>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Arial" w:eastAsia="Microsoft YaHei" w:hAnsi="Arial" w:cs="Arial Unicode MS"/>
      <w:sz w:val="28"/>
      <w:szCs w:val="28"/>
    </w:rPr>
  </w:style>
  <w:style w:type="paragraph" w:customStyle="1" w:styleId="Textbody">
    <w:name w:val="Text body"/>
    <w:basedOn w:val="Standard"/>
    <w:pPr>
      <w:jc w:val="both"/>
    </w:pPr>
    <w:rPr>
      <w:sz w:val="24"/>
    </w:rPr>
  </w:style>
  <w:style w:type="paragraph" w:styleId="Elenco">
    <w:name w:val="List"/>
    <w:basedOn w:val="Textbody"/>
    <w:rPr>
      <w:rFonts w:cs="Arial Unicode MS"/>
    </w:rPr>
  </w:style>
  <w:style w:type="paragraph" w:styleId="Didascalia">
    <w:name w:val="caption"/>
    <w:basedOn w:val="Standard"/>
    <w:pPr>
      <w:ind w:left="-567" w:right="-567"/>
      <w:jc w:val="center"/>
    </w:pPr>
    <w:rPr>
      <w:rFonts w:ascii="English111 Adagio BT" w:hAnsi="English111 Adagio BT"/>
      <w:b/>
      <w:sz w:val="44"/>
    </w:rPr>
  </w:style>
  <w:style w:type="paragraph" w:customStyle="1" w:styleId="Index">
    <w:name w:val="Index"/>
    <w:basedOn w:val="Standard"/>
    <w:pPr>
      <w:suppressLineNumbers/>
    </w:pPr>
    <w:rPr>
      <w:rFonts w:cs="Arial Unicode MS"/>
    </w:rPr>
  </w:style>
  <w:style w:type="paragraph" w:styleId="Intestazione">
    <w:name w:val="header"/>
    <w:basedOn w:val="Standard"/>
    <w:pPr>
      <w:suppressLineNumbers/>
      <w:tabs>
        <w:tab w:val="center" w:pos="4819"/>
        <w:tab w:val="right" w:pos="9638"/>
      </w:tabs>
    </w:pPr>
  </w:style>
  <w:style w:type="paragraph" w:styleId="Pidipagina">
    <w:name w:val="footer"/>
    <w:basedOn w:val="Standard"/>
    <w:pPr>
      <w:suppressLineNumbers/>
      <w:tabs>
        <w:tab w:val="center" w:pos="4819"/>
        <w:tab w:val="right" w:pos="9638"/>
      </w:tabs>
    </w:pPr>
  </w:style>
  <w:style w:type="paragraph" w:customStyle="1" w:styleId="Textbodyindent">
    <w:name w:val="Text body indent"/>
    <w:basedOn w:val="Standard"/>
    <w:pPr>
      <w:ind w:left="283" w:firstLine="1134"/>
      <w:jc w:val="both"/>
    </w:pPr>
    <w:rPr>
      <w:sz w:val="24"/>
    </w:rPr>
  </w:style>
  <w:style w:type="paragraph" w:styleId="Rientrocorpodeltesto2">
    <w:name w:val="Body Text Indent 2"/>
    <w:basedOn w:val="Standard"/>
    <w:pPr>
      <w:ind w:left="5245"/>
    </w:pPr>
    <w:rPr>
      <w:sz w:val="24"/>
      <w:szCs w:val="28"/>
    </w:rPr>
  </w:style>
  <w:style w:type="paragraph" w:styleId="Testonotaapidipagina">
    <w:name w:val="footnote text"/>
    <w:basedOn w:val="Standard"/>
  </w:style>
  <w:style w:type="paragraph" w:styleId="Titolo">
    <w:name w:val="Title"/>
    <w:basedOn w:val="Standard"/>
    <w:next w:val="Sottotitolo"/>
    <w:pPr>
      <w:spacing w:before="240" w:after="60"/>
      <w:jc w:val="center"/>
      <w:outlineLvl w:val="0"/>
    </w:pPr>
    <w:rPr>
      <w:rFonts w:ascii="Arial" w:hAnsi="Arial" w:cs="Arial"/>
      <w:b/>
      <w:bCs/>
      <w:sz w:val="32"/>
      <w:szCs w:val="32"/>
    </w:rPr>
  </w:style>
  <w:style w:type="paragraph" w:styleId="Sottotitolo">
    <w:name w:val="Subtitle"/>
    <w:basedOn w:val="Standard"/>
    <w:next w:val="Textbody"/>
    <w:pPr>
      <w:spacing w:after="60"/>
      <w:jc w:val="center"/>
      <w:outlineLvl w:val="1"/>
    </w:pPr>
    <w:rPr>
      <w:rFonts w:ascii="Arial" w:hAnsi="Arial" w:cs="Arial"/>
      <w:i/>
      <w:iCs/>
      <w:sz w:val="24"/>
      <w:szCs w:val="24"/>
    </w:rPr>
  </w:style>
  <w:style w:type="paragraph" w:styleId="Rientrocorpodeltesto3">
    <w:name w:val="Body Text Indent 3"/>
    <w:basedOn w:val="Standard"/>
    <w:pPr>
      <w:ind w:firstLine="1134"/>
      <w:jc w:val="both"/>
    </w:pPr>
    <w:rPr>
      <w:sz w:val="28"/>
    </w:rPr>
  </w:style>
  <w:style w:type="paragraph" w:styleId="Testofumetto">
    <w:name w:val="Balloon Text"/>
    <w:basedOn w:val="Standard"/>
    <w:rPr>
      <w:rFonts w:ascii="Tahoma" w:hAnsi="Tahoma" w:cs="Tahoma"/>
      <w:sz w:val="16"/>
      <w:szCs w:val="16"/>
    </w:rPr>
  </w:style>
  <w:style w:type="paragraph" w:customStyle="1" w:styleId="Titoletto">
    <w:name w:val="Titoletto"/>
    <w:basedOn w:val="Standard"/>
    <w:pPr>
      <w:spacing w:after="120"/>
      <w:jc w:val="both"/>
    </w:pPr>
    <w:rPr>
      <w:rFonts w:ascii="Calibri" w:hAnsi="Calibri"/>
      <w:b/>
      <w:bCs/>
      <w:sz w:val="24"/>
      <w:szCs w:val="24"/>
    </w:rPr>
  </w:style>
  <w:style w:type="paragraph" w:customStyle="1" w:styleId="Framecontents">
    <w:name w:val="Frame contents"/>
    <w:basedOn w:val="Textbody"/>
  </w:style>
  <w:style w:type="character" w:styleId="Numeropagina">
    <w:name w:val="page number"/>
    <w:basedOn w:val="Carpredefinitoparagrafo"/>
  </w:style>
  <w:style w:type="character" w:styleId="Rimandonotaapidipagina">
    <w:name w:val="footnote reference"/>
    <w:basedOn w:val="Carpredefinitoparagrafo"/>
    <w:rPr>
      <w:position w:val="0"/>
      <w:vertAlign w:val="superscript"/>
    </w:rPr>
  </w:style>
  <w:style w:type="character" w:customStyle="1" w:styleId="TitolettoCarattere">
    <w:name w:val="Titoletto Carattere"/>
    <w:basedOn w:val="Carpredefinitoparagrafo"/>
    <w:rPr>
      <w:rFonts w:ascii="Calibri" w:hAnsi="Calibri"/>
      <w:b/>
      <w:bCs/>
      <w:sz w:val="24"/>
      <w:szCs w:val="24"/>
      <w:lang w:val="it-IT" w:eastAsia="it-IT" w:bidi="ar-SA"/>
    </w:rPr>
  </w:style>
  <w:style w:type="character" w:customStyle="1" w:styleId="StrongEmphasis">
    <w:name w:val="Strong Emphasis"/>
    <w:rPr>
      <w:b/>
      <w:bCs/>
      <w:i w:val="0"/>
      <w:iCs w:val="0"/>
    </w:rPr>
  </w:style>
  <w:style w:type="character" w:customStyle="1" w:styleId="ListLabel1">
    <w:name w:val="ListLabel 1"/>
    <w:rPr>
      <w:rFonts w:eastAsia="Times New Roman" w:cs="Times New Roman"/>
    </w:rPr>
  </w:style>
  <w:style w:type="character" w:customStyle="1" w:styleId="ListLabel2">
    <w:name w:val="ListLabel 2"/>
    <w:rPr>
      <w:b/>
    </w:rPr>
  </w:style>
  <w:style w:type="character" w:customStyle="1" w:styleId="ListLabel3">
    <w:name w:val="ListLabel 3"/>
    <w:rPr>
      <w:b/>
      <w:i w:val="0"/>
    </w:rPr>
  </w:style>
  <w:style w:type="character" w:customStyle="1" w:styleId="ListLabel4">
    <w:name w:val="ListLabel 4"/>
    <w:rPr>
      <w:b w:val="0"/>
      <w:i w:val="0"/>
    </w:rPr>
  </w:style>
  <w:style w:type="character" w:customStyle="1" w:styleId="ListLabel5">
    <w:name w:val="ListLabel 5"/>
    <w:rPr>
      <w:rFonts w:cs="Tahoma"/>
      <w:b/>
    </w:rPr>
  </w:style>
  <w:style w:type="numbering" w:customStyle="1" w:styleId="WWNum1">
    <w:name w:val="WWNum1"/>
    <w:basedOn w:val="Nessunelenco"/>
    <w:pPr>
      <w:numPr>
        <w:numId w:val="1"/>
      </w:numPr>
    </w:pPr>
  </w:style>
  <w:style w:type="numbering" w:customStyle="1" w:styleId="WWNum2">
    <w:name w:val="WWNum2"/>
    <w:basedOn w:val="Nessunelenco"/>
    <w:pPr>
      <w:numPr>
        <w:numId w:val="2"/>
      </w:numPr>
    </w:pPr>
  </w:style>
  <w:style w:type="numbering" w:customStyle="1" w:styleId="WWNum3">
    <w:name w:val="WWNum3"/>
    <w:basedOn w:val="Nessunelenco"/>
    <w:pPr>
      <w:numPr>
        <w:numId w:val="3"/>
      </w:numPr>
    </w:pPr>
  </w:style>
  <w:style w:type="numbering" w:customStyle="1" w:styleId="WWNum4">
    <w:name w:val="WWNum4"/>
    <w:basedOn w:val="Nessunelenco"/>
    <w:pPr>
      <w:numPr>
        <w:numId w:val="4"/>
      </w:numPr>
    </w:pPr>
  </w:style>
  <w:style w:type="numbering" w:customStyle="1" w:styleId="WWNum5">
    <w:name w:val="WWNum5"/>
    <w:basedOn w:val="Nessunelenco"/>
    <w:pPr>
      <w:numPr>
        <w:numId w:val="5"/>
      </w:numPr>
    </w:pPr>
  </w:style>
  <w:style w:type="numbering" w:customStyle="1" w:styleId="WWNum6">
    <w:name w:val="WWNum6"/>
    <w:basedOn w:val="Nessunelenco"/>
    <w:pPr>
      <w:numPr>
        <w:numId w:val="6"/>
      </w:numPr>
    </w:pPr>
  </w:style>
  <w:style w:type="numbering" w:customStyle="1" w:styleId="WWNum7">
    <w:name w:val="WWNum7"/>
    <w:basedOn w:val="Nessunelenco"/>
    <w:pPr>
      <w:numPr>
        <w:numId w:val="7"/>
      </w:numPr>
    </w:pPr>
  </w:style>
  <w:style w:type="numbering" w:customStyle="1" w:styleId="WWNum8">
    <w:name w:val="WWNum8"/>
    <w:basedOn w:val="Nessunelenco"/>
    <w:pPr>
      <w:numPr>
        <w:numId w:val="8"/>
      </w:numPr>
    </w:pPr>
  </w:style>
  <w:style w:type="numbering" w:customStyle="1" w:styleId="WWNum9">
    <w:name w:val="WWNum9"/>
    <w:basedOn w:val="Nessunelenco"/>
    <w:pPr>
      <w:numPr>
        <w:numId w:val="9"/>
      </w:numPr>
    </w:pPr>
  </w:style>
  <w:style w:type="numbering" w:customStyle="1" w:styleId="WWNum10">
    <w:name w:val="WWNum10"/>
    <w:basedOn w:val="Nessunelenco"/>
    <w:pPr>
      <w:numPr>
        <w:numId w:val="10"/>
      </w:numPr>
    </w:pPr>
  </w:style>
  <w:style w:type="numbering" w:customStyle="1" w:styleId="WWNum11">
    <w:name w:val="WWNum11"/>
    <w:basedOn w:val="Nessunelenco"/>
    <w:pPr>
      <w:numPr>
        <w:numId w:val="11"/>
      </w:numPr>
    </w:pPr>
  </w:style>
  <w:style w:type="numbering" w:customStyle="1" w:styleId="WWNum12">
    <w:name w:val="WWNum12"/>
    <w:basedOn w:val="Nessunelenco"/>
    <w:pPr>
      <w:numPr>
        <w:numId w:val="12"/>
      </w:numPr>
    </w:pPr>
  </w:style>
  <w:style w:type="numbering" w:customStyle="1" w:styleId="WWNum13">
    <w:name w:val="WWNum13"/>
    <w:basedOn w:val="Nessunelenco"/>
    <w:pPr>
      <w:numPr>
        <w:numId w:val="13"/>
      </w:numPr>
    </w:pPr>
  </w:style>
  <w:style w:type="numbering" w:customStyle="1" w:styleId="WWNum14">
    <w:name w:val="WWNum14"/>
    <w:basedOn w:val="Nessunelenco"/>
    <w:pPr>
      <w:numPr>
        <w:numId w:val="1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826</Words>
  <Characters>4709</Characters>
  <Application>Microsoft Office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Ministero Pubblica Istruzione</dc:creator>
  <cp:lastModifiedBy>Utente Windows</cp:lastModifiedBy>
  <cp:revision>2</cp:revision>
  <cp:lastPrinted>2018-11-14T15:40:00Z</cp:lastPrinted>
  <dcterms:created xsi:type="dcterms:W3CDTF">2018-11-15T14:56:00Z</dcterms:created>
  <dcterms:modified xsi:type="dcterms:W3CDTF">2018-11-15T14:56:00Z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itctosi</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